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F30AA" w14:textId="762C71E2" w:rsidR="00F07F38" w:rsidRDefault="00F07F38" w:rsidP="00F25FD5">
      <w:pPr>
        <w:pStyle w:val="Univeristy"/>
        <w:adjustRightInd w:val="0"/>
        <w:snapToGrid w:val="0"/>
        <w:spacing w:beforeLines="120" w:before="288" w:after="0"/>
        <w:ind w:firstLine="0"/>
        <w:jc w:val="center"/>
        <w:rPr>
          <w:b/>
          <w:bCs/>
          <w:sz w:val="22"/>
        </w:rPr>
      </w:pPr>
    </w:p>
    <w:p w14:paraId="78CD7BEA" w14:textId="173F059F" w:rsidR="002715E8" w:rsidRDefault="002715E8" w:rsidP="00F25FD5">
      <w:pPr>
        <w:pStyle w:val="Univeristy"/>
        <w:adjustRightInd w:val="0"/>
        <w:snapToGrid w:val="0"/>
        <w:spacing w:beforeLines="120" w:before="288" w:after="0"/>
        <w:ind w:firstLine="0"/>
        <w:jc w:val="center"/>
        <w:rPr>
          <w:b/>
          <w:bCs/>
          <w:sz w:val="22"/>
        </w:rPr>
      </w:pPr>
    </w:p>
    <w:p w14:paraId="3E514737" w14:textId="3F10F7E9" w:rsidR="00E43965" w:rsidRDefault="00E43965" w:rsidP="00F25FD5">
      <w:pPr>
        <w:pStyle w:val="Univeristy"/>
        <w:adjustRightInd w:val="0"/>
        <w:snapToGrid w:val="0"/>
        <w:spacing w:beforeLines="120" w:before="288" w:after="0"/>
        <w:ind w:firstLine="0"/>
        <w:jc w:val="center"/>
        <w:rPr>
          <w:b/>
          <w:bCs/>
          <w:sz w:val="22"/>
        </w:rPr>
      </w:pPr>
    </w:p>
    <w:p w14:paraId="09038661" w14:textId="6746FDD2" w:rsidR="00A36889" w:rsidRDefault="00A36889" w:rsidP="00F25FD5">
      <w:pPr>
        <w:pStyle w:val="Univeristy"/>
        <w:adjustRightInd w:val="0"/>
        <w:snapToGrid w:val="0"/>
        <w:spacing w:beforeLines="120" w:before="288" w:after="0"/>
        <w:ind w:firstLine="0"/>
        <w:jc w:val="center"/>
        <w:rPr>
          <w:b/>
          <w:bCs/>
          <w:sz w:val="22"/>
        </w:rPr>
      </w:pPr>
    </w:p>
    <w:p w14:paraId="29843F2D" w14:textId="77777777" w:rsidR="00A36889" w:rsidRPr="005A5DEE" w:rsidRDefault="00A36889" w:rsidP="00F25FD5">
      <w:pPr>
        <w:pStyle w:val="Univeristy"/>
        <w:adjustRightInd w:val="0"/>
        <w:snapToGrid w:val="0"/>
        <w:spacing w:beforeLines="120" w:before="288" w:after="0"/>
        <w:ind w:firstLine="0"/>
        <w:jc w:val="center"/>
        <w:rPr>
          <w:b/>
          <w:bCs/>
          <w:sz w:val="22"/>
        </w:rPr>
      </w:pPr>
    </w:p>
    <w:p w14:paraId="5C573BC5" w14:textId="39A4DB2C" w:rsidR="00D60472" w:rsidRDefault="00B340D7" w:rsidP="00D60472">
      <w:pPr>
        <w:spacing w:line="480" w:lineRule="auto"/>
        <w:jc w:val="center"/>
      </w:pPr>
      <w:r>
        <w:t>Which</w:t>
      </w:r>
      <w:r w:rsidR="00124DDD">
        <w:t xml:space="preserve"> processes are crucial for effective sentence production?</w:t>
      </w:r>
      <w:r w:rsidR="00D60472">
        <w:t xml:space="preserve"> Behavioural and </w:t>
      </w:r>
      <w:r w:rsidR="00124DDD">
        <w:t>lesion-mapping</w:t>
      </w:r>
      <w:r w:rsidR="00D60472">
        <w:t xml:space="preserve"> evidence from chronic aphasia</w:t>
      </w:r>
    </w:p>
    <w:p w14:paraId="199CEE7A" w14:textId="77777777" w:rsidR="00D60472" w:rsidRDefault="00D60472" w:rsidP="00D60472">
      <w:pPr>
        <w:spacing w:line="480" w:lineRule="auto"/>
        <w:jc w:val="center"/>
      </w:pPr>
    </w:p>
    <w:p w14:paraId="3475861A" w14:textId="77777777" w:rsidR="00D60472" w:rsidRDefault="00D60472" w:rsidP="00D60472">
      <w:pPr>
        <w:spacing w:line="480" w:lineRule="auto"/>
        <w:jc w:val="center"/>
      </w:pPr>
    </w:p>
    <w:p w14:paraId="1BA66DBD" w14:textId="77777777" w:rsidR="00D60472" w:rsidRDefault="00D60472" w:rsidP="00D60472">
      <w:pPr>
        <w:spacing w:line="480" w:lineRule="auto"/>
        <w:jc w:val="center"/>
      </w:pPr>
    </w:p>
    <w:p w14:paraId="5ACC9A6A" w14:textId="6FD9A6FF" w:rsidR="00D60472" w:rsidRDefault="001B16F4" w:rsidP="00D60472">
      <w:pPr>
        <w:spacing w:line="480" w:lineRule="auto"/>
        <w:jc w:val="center"/>
      </w:pPr>
      <w:r>
        <w:t xml:space="preserve">Carolyn E. Wilshire and </w:t>
      </w:r>
      <w:r w:rsidR="00D60472">
        <w:t>Paula Speer</w:t>
      </w:r>
    </w:p>
    <w:p w14:paraId="764CBB88" w14:textId="77777777" w:rsidR="00D60472" w:rsidRDefault="00D60472" w:rsidP="00D60472">
      <w:pPr>
        <w:spacing w:line="480" w:lineRule="auto"/>
        <w:jc w:val="center"/>
      </w:pPr>
      <w:r>
        <w:t>School of Psychology, Victoria University of Wellington, New Zealand.</w:t>
      </w:r>
    </w:p>
    <w:p w14:paraId="78C3473D" w14:textId="77777777" w:rsidR="00D60472" w:rsidRDefault="00D60472" w:rsidP="00D60472">
      <w:pPr>
        <w:spacing w:line="480" w:lineRule="auto"/>
        <w:jc w:val="center"/>
      </w:pPr>
    </w:p>
    <w:p w14:paraId="7690F2A8" w14:textId="77777777" w:rsidR="00D60472" w:rsidRDefault="00D60472" w:rsidP="00D60472">
      <w:pPr>
        <w:spacing w:line="480" w:lineRule="auto"/>
      </w:pPr>
    </w:p>
    <w:p w14:paraId="31BA0ED8" w14:textId="77777777" w:rsidR="00D60472" w:rsidRPr="001E3F12" w:rsidRDefault="00D60472" w:rsidP="00D60472">
      <w:pPr>
        <w:spacing w:line="480" w:lineRule="auto"/>
        <w:rPr>
          <w:u w:val="single"/>
        </w:rPr>
      </w:pPr>
    </w:p>
    <w:p w14:paraId="49D83907" w14:textId="77777777" w:rsidR="00D60472" w:rsidRDefault="00D60472" w:rsidP="00D60472">
      <w:pPr>
        <w:spacing w:line="480" w:lineRule="auto"/>
      </w:pPr>
      <w:r w:rsidRPr="00D60472">
        <w:t xml:space="preserve">Correspondence to: </w:t>
      </w:r>
      <w:r>
        <w:t>Carolyn Wilshire, School of Psychology, Victoria University of Wellington, P.O. Box 600, Wellington, New Zealand.</w:t>
      </w:r>
    </w:p>
    <w:p w14:paraId="0710A31A" w14:textId="705F1966" w:rsidR="00D60472" w:rsidRDefault="00D60472" w:rsidP="00D60472">
      <w:pPr>
        <w:spacing w:line="480" w:lineRule="auto"/>
        <w:rPr>
          <w:rStyle w:val="Hyperlink"/>
          <w:color w:val="auto"/>
          <w:u w:val="none"/>
          <w:lang w:val="de-DE"/>
        </w:rPr>
      </w:pPr>
      <w:r w:rsidRPr="009C31AF">
        <w:rPr>
          <w:lang w:val="de-DE"/>
        </w:rPr>
        <w:t xml:space="preserve">Email: </w:t>
      </w:r>
      <w:hyperlink r:id="rId7" w:history="1">
        <w:r w:rsidRPr="009C31AF">
          <w:rPr>
            <w:rStyle w:val="Hyperlink"/>
            <w:lang w:val="de-DE"/>
          </w:rPr>
          <w:t>Carolyn.Wilshire@vuw.ac.nz</w:t>
        </w:r>
      </w:hyperlink>
    </w:p>
    <w:p w14:paraId="0B5E3EB7" w14:textId="77777777" w:rsidR="00D60472" w:rsidRPr="009C31AF" w:rsidRDefault="00D60472" w:rsidP="00D60472">
      <w:pPr>
        <w:spacing w:line="480" w:lineRule="auto"/>
        <w:rPr>
          <w:lang w:val="de-DE"/>
        </w:rPr>
      </w:pPr>
    </w:p>
    <w:p w14:paraId="76B6772F" w14:textId="77777777" w:rsidR="00FB3EA5" w:rsidRPr="005A5DEE" w:rsidRDefault="00FB3EA5" w:rsidP="00FB3EA5">
      <w:pPr>
        <w:pStyle w:val="Univeristy"/>
        <w:adjustRightInd w:val="0"/>
        <w:snapToGrid w:val="0"/>
        <w:spacing w:beforeLines="120" w:before="288" w:after="0" w:line="240" w:lineRule="auto"/>
        <w:ind w:firstLine="0"/>
        <w:rPr>
          <w:b/>
          <w:bCs/>
          <w:sz w:val="22"/>
        </w:rPr>
      </w:pPr>
    </w:p>
    <w:p w14:paraId="16C0386E" w14:textId="77777777" w:rsidR="004B3B24" w:rsidRPr="005A5DEE" w:rsidRDefault="004B3B24">
      <w:pPr>
        <w:spacing w:after="160" w:line="259" w:lineRule="auto"/>
        <w:ind w:firstLine="720"/>
        <w:rPr>
          <w:rFonts w:cstheme="minorBidi"/>
          <w:b/>
          <w:bCs/>
          <w:sz w:val="22"/>
        </w:rPr>
      </w:pPr>
      <w:r w:rsidRPr="005A5DEE">
        <w:rPr>
          <w:b/>
          <w:bCs/>
          <w:sz w:val="22"/>
        </w:rPr>
        <w:br w:type="page"/>
      </w:r>
    </w:p>
    <w:p w14:paraId="784A75B2" w14:textId="3B2BB4B4" w:rsidR="00136DE7" w:rsidRPr="005A5DEE" w:rsidRDefault="00136DE7" w:rsidP="008F7680">
      <w:pPr>
        <w:pStyle w:val="Univeristy"/>
        <w:adjustRightInd w:val="0"/>
        <w:snapToGrid w:val="0"/>
        <w:spacing w:beforeLines="120" w:before="288" w:after="0"/>
        <w:ind w:firstLine="0"/>
        <w:jc w:val="center"/>
        <w:rPr>
          <w:b/>
          <w:bCs/>
          <w:sz w:val="22"/>
        </w:rPr>
      </w:pPr>
      <w:r w:rsidRPr="005A5DEE">
        <w:rPr>
          <w:b/>
          <w:bCs/>
          <w:sz w:val="22"/>
        </w:rPr>
        <w:lastRenderedPageBreak/>
        <w:t>Abstract</w:t>
      </w:r>
    </w:p>
    <w:p w14:paraId="2275ED34" w14:textId="77777777" w:rsidR="00F066B7" w:rsidRDefault="00F066B7" w:rsidP="003F1F5B">
      <w:pPr>
        <w:spacing w:line="480" w:lineRule="auto"/>
        <w:rPr>
          <w:lang w:val="en-AU"/>
        </w:rPr>
      </w:pPr>
    </w:p>
    <w:p w14:paraId="665787AE" w14:textId="45FD17B9" w:rsidR="00130788" w:rsidRDefault="003F1F5B" w:rsidP="003F1F5B">
      <w:pPr>
        <w:spacing w:line="480" w:lineRule="auto"/>
        <w:rPr>
          <w:bCs/>
          <w:lang w:val="en-AU"/>
        </w:rPr>
      </w:pPr>
      <w:r>
        <w:rPr>
          <w:lang w:val="en-AU"/>
        </w:rPr>
        <w:t>In this study, w</w:t>
      </w:r>
      <w:r w:rsidR="00102C4A">
        <w:rPr>
          <w:lang w:val="en-AU"/>
        </w:rPr>
        <w:t>e assessed eight individuals with aphasia on</w:t>
      </w:r>
      <w:r w:rsidR="00F066B7">
        <w:rPr>
          <w:lang w:val="en-AU"/>
        </w:rPr>
        <w:t xml:space="preserve"> seven</w:t>
      </w:r>
      <w:r w:rsidR="00102C4A">
        <w:rPr>
          <w:lang w:val="en-AU"/>
        </w:rPr>
        <w:t xml:space="preserve"> measures that have previously been as</w:t>
      </w:r>
      <w:r>
        <w:rPr>
          <w:lang w:val="en-AU"/>
        </w:rPr>
        <w:t>so</w:t>
      </w:r>
      <w:r w:rsidR="00102C4A">
        <w:rPr>
          <w:lang w:val="en-AU"/>
        </w:rPr>
        <w:t>c</w:t>
      </w:r>
      <w:r>
        <w:rPr>
          <w:lang w:val="en-AU"/>
        </w:rPr>
        <w:t>ia</w:t>
      </w:r>
      <w:r w:rsidR="00102C4A">
        <w:rPr>
          <w:lang w:val="en-AU"/>
        </w:rPr>
        <w:t xml:space="preserve">ted with </w:t>
      </w:r>
      <w:r>
        <w:rPr>
          <w:lang w:val="en-AU"/>
        </w:rPr>
        <w:t xml:space="preserve">damage to anterior language </w:t>
      </w:r>
      <w:r w:rsidR="00124DDD">
        <w:rPr>
          <w:lang w:val="en-AU"/>
        </w:rPr>
        <w:t>structure</w:t>
      </w:r>
      <w:r w:rsidR="00F066B7">
        <w:rPr>
          <w:lang w:val="en-AU"/>
        </w:rPr>
        <w:t xml:space="preserve">s. </w:t>
      </w:r>
      <w:r w:rsidR="00882353">
        <w:rPr>
          <w:lang w:val="en-AU"/>
        </w:rPr>
        <w:t>V</w:t>
      </w:r>
      <w:r w:rsidR="00124DDD">
        <w:rPr>
          <w:lang w:val="en-AU"/>
        </w:rPr>
        <w:t xml:space="preserve">oxel-based lesion-symptom mapping </w:t>
      </w:r>
      <w:r w:rsidR="00882353">
        <w:rPr>
          <w:lang w:val="en-AU"/>
        </w:rPr>
        <w:t xml:space="preserve">was used </w:t>
      </w:r>
      <w:r w:rsidR="00124DDD">
        <w:rPr>
          <w:lang w:val="en-AU"/>
        </w:rPr>
        <w:t>to explore the</w:t>
      </w:r>
      <w:r w:rsidR="00882353">
        <w:rPr>
          <w:lang w:val="en-AU"/>
        </w:rPr>
        <w:t>ir</w:t>
      </w:r>
      <w:r w:rsidR="00124DDD">
        <w:rPr>
          <w:lang w:val="en-AU"/>
        </w:rPr>
        <w:t xml:space="preserve"> neural </w:t>
      </w:r>
      <w:r w:rsidR="00882353">
        <w:rPr>
          <w:lang w:val="en-AU"/>
        </w:rPr>
        <w:t>correlates</w:t>
      </w:r>
      <w:r w:rsidR="00102C4A">
        <w:rPr>
          <w:lang w:val="en-AU"/>
        </w:rPr>
        <w:t xml:space="preserve">. We </w:t>
      </w:r>
      <w:r>
        <w:rPr>
          <w:lang w:val="en-AU"/>
        </w:rPr>
        <w:t>identified</w:t>
      </w:r>
      <w:r w:rsidR="00102C4A">
        <w:rPr>
          <w:lang w:val="en-AU"/>
        </w:rPr>
        <w:t xml:space="preserve"> two di</w:t>
      </w:r>
      <w:r>
        <w:rPr>
          <w:lang w:val="en-AU"/>
        </w:rPr>
        <w:t>s</w:t>
      </w:r>
      <w:r w:rsidR="00102C4A">
        <w:rPr>
          <w:lang w:val="en-AU"/>
        </w:rPr>
        <w:t>ti</w:t>
      </w:r>
      <w:r>
        <w:rPr>
          <w:lang w:val="en-AU"/>
        </w:rPr>
        <w:t>nc</w:t>
      </w:r>
      <w:r w:rsidR="00102C4A">
        <w:rPr>
          <w:lang w:val="en-AU"/>
        </w:rPr>
        <w:t xml:space="preserve">t clusters of measures. The first, </w:t>
      </w:r>
      <w:r w:rsidR="00102C4A" w:rsidRPr="00797C54">
        <w:rPr>
          <w:i/>
          <w:iCs/>
          <w:lang w:val="en-AU"/>
        </w:rPr>
        <w:t xml:space="preserve">fluency and </w:t>
      </w:r>
      <w:r w:rsidRPr="00797C54">
        <w:rPr>
          <w:i/>
          <w:iCs/>
          <w:lang w:val="en-AU"/>
        </w:rPr>
        <w:t>grammaticality</w:t>
      </w:r>
      <w:r w:rsidR="00102C4A">
        <w:rPr>
          <w:lang w:val="en-AU"/>
        </w:rPr>
        <w:t xml:space="preserve">, included measures of </w:t>
      </w:r>
      <w:r>
        <w:rPr>
          <w:lang w:val="en-AU"/>
        </w:rPr>
        <w:t xml:space="preserve">speech </w:t>
      </w:r>
      <w:r w:rsidR="00102C4A">
        <w:rPr>
          <w:lang w:val="en-AU"/>
        </w:rPr>
        <w:t xml:space="preserve">rate, articulatory agility and grammatical word content. </w:t>
      </w:r>
      <w:r>
        <w:rPr>
          <w:lang w:val="en-AU"/>
        </w:rPr>
        <w:t>Poor scores on t</w:t>
      </w:r>
      <w:r w:rsidR="00102C4A">
        <w:rPr>
          <w:lang w:val="en-AU"/>
        </w:rPr>
        <w:t>hese mea</w:t>
      </w:r>
      <w:r>
        <w:rPr>
          <w:lang w:val="en-AU"/>
        </w:rPr>
        <w:t>s</w:t>
      </w:r>
      <w:r w:rsidR="00102C4A">
        <w:rPr>
          <w:lang w:val="en-AU"/>
        </w:rPr>
        <w:t xml:space="preserve">ures </w:t>
      </w:r>
      <w:r w:rsidR="00102C4A">
        <w:t xml:space="preserve">were associated with damage to </w:t>
      </w:r>
      <w:r w:rsidR="00102C4A">
        <w:rPr>
          <w:bCs/>
          <w:lang w:val="en-GB"/>
        </w:rPr>
        <w:t xml:space="preserve">the left insula and central operculum. </w:t>
      </w:r>
      <w:r w:rsidR="00102C4A">
        <w:rPr>
          <w:lang w:val="en-AU"/>
        </w:rPr>
        <w:t xml:space="preserve">The second cluster, </w:t>
      </w:r>
      <w:r w:rsidR="00102C4A" w:rsidRPr="00C16411">
        <w:rPr>
          <w:i/>
          <w:iCs/>
          <w:lang w:val="en-AU"/>
        </w:rPr>
        <w:t>context sensitivity</w:t>
      </w:r>
      <w:r w:rsidR="00102C4A">
        <w:rPr>
          <w:i/>
          <w:iCs/>
          <w:lang w:val="en-AU"/>
        </w:rPr>
        <w:t>,</w:t>
      </w:r>
      <w:r w:rsidR="00102C4A" w:rsidRPr="00C16411">
        <w:rPr>
          <w:i/>
          <w:iCs/>
          <w:lang w:val="en-AU"/>
        </w:rPr>
        <w:t xml:space="preserve"> </w:t>
      </w:r>
      <w:r w:rsidR="00102C4A">
        <w:rPr>
          <w:lang w:val="en-AU"/>
        </w:rPr>
        <w:t xml:space="preserve">included a measure of the difference in accuracy on subject and object nouns </w:t>
      </w:r>
      <w:r w:rsidR="00882353">
        <w:rPr>
          <w:lang w:val="en-AU"/>
        </w:rPr>
        <w:t>during</w:t>
      </w:r>
      <w:r w:rsidR="00102C4A">
        <w:rPr>
          <w:lang w:val="en-AU"/>
        </w:rPr>
        <w:t xml:space="preserve"> sentence production, and also </w:t>
      </w:r>
      <w:r>
        <w:rPr>
          <w:lang w:val="en-AU"/>
        </w:rPr>
        <w:t>a</w:t>
      </w:r>
      <w:r w:rsidR="00102C4A">
        <w:rPr>
          <w:lang w:val="en-AU"/>
        </w:rPr>
        <w:t xml:space="preserve"> measure of the semantic interference </w:t>
      </w:r>
      <w:r>
        <w:rPr>
          <w:lang w:val="en-AU"/>
        </w:rPr>
        <w:t>effect</w:t>
      </w:r>
      <w:r w:rsidR="00102C4A">
        <w:rPr>
          <w:lang w:val="en-AU"/>
        </w:rPr>
        <w:t xml:space="preserve"> in </w:t>
      </w:r>
      <w:r>
        <w:rPr>
          <w:lang w:val="en-AU"/>
        </w:rPr>
        <w:t xml:space="preserve">the </w:t>
      </w:r>
      <w:r w:rsidR="00102C4A">
        <w:rPr>
          <w:lang w:val="en-AU"/>
        </w:rPr>
        <w:t>cyclic naming</w:t>
      </w:r>
      <w:r>
        <w:rPr>
          <w:lang w:val="en-AU"/>
        </w:rPr>
        <w:t xml:space="preserve"> task</w:t>
      </w:r>
      <w:r w:rsidR="00102C4A">
        <w:rPr>
          <w:lang w:val="en-AU"/>
        </w:rPr>
        <w:t xml:space="preserve">. </w:t>
      </w:r>
      <w:r>
        <w:rPr>
          <w:lang w:val="en-AU"/>
        </w:rPr>
        <w:t xml:space="preserve">Poor scores </w:t>
      </w:r>
      <w:r w:rsidR="00102C4A">
        <w:t xml:space="preserve">were </w:t>
      </w:r>
      <w:r w:rsidR="00102C4A">
        <w:rPr>
          <w:bCs/>
          <w:lang w:val="en-GB"/>
        </w:rPr>
        <w:t xml:space="preserve">associated with damage to the left inferior and middle frontal gyri, </w:t>
      </w:r>
      <w:r w:rsidR="00124DDD">
        <w:rPr>
          <w:bCs/>
          <w:lang w:val="en-GB"/>
        </w:rPr>
        <w:t xml:space="preserve">and </w:t>
      </w:r>
      <w:r w:rsidR="00102C4A">
        <w:rPr>
          <w:bCs/>
          <w:lang w:val="en-GB"/>
        </w:rPr>
        <w:t xml:space="preserve">the postcentral and precentral gyri. </w:t>
      </w:r>
      <w:r w:rsidR="00882353">
        <w:rPr>
          <w:bCs/>
          <w:lang w:val="en-AU"/>
        </w:rPr>
        <w:t>Based on these results, w</w:t>
      </w:r>
      <w:r>
        <w:rPr>
          <w:bCs/>
          <w:lang w:val="en-AU"/>
        </w:rPr>
        <w:t>e propose a two-factor account of</w:t>
      </w:r>
      <w:r w:rsidRPr="003F1F5B">
        <w:rPr>
          <w:bCs/>
          <w:lang w:val="en-AU"/>
        </w:rPr>
        <w:t xml:space="preserve"> the speech </w:t>
      </w:r>
      <w:r>
        <w:rPr>
          <w:bCs/>
          <w:lang w:val="en-AU"/>
        </w:rPr>
        <w:t>difficulties</w:t>
      </w:r>
      <w:r w:rsidRPr="003F1F5B">
        <w:rPr>
          <w:bCs/>
          <w:lang w:val="en-AU"/>
        </w:rPr>
        <w:t xml:space="preserve"> observed in nonfluent aphasia. The first </w:t>
      </w:r>
      <w:r w:rsidR="00B340D7">
        <w:rPr>
          <w:bCs/>
          <w:lang w:val="en-AU"/>
        </w:rPr>
        <w:t xml:space="preserve">factor </w:t>
      </w:r>
      <w:r w:rsidR="00882353">
        <w:rPr>
          <w:bCs/>
          <w:lang w:val="en-AU"/>
        </w:rPr>
        <w:t>is</w:t>
      </w:r>
      <w:r w:rsidRPr="003F1F5B">
        <w:rPr>
          <w:bCs/>
          <w:lang w:val="en-AU"/>
        </w:rPr>
        <w:t xml:space="preserve"> a general slowing of speech planning process</w:t>
      </w:r>
      <w:r>
        <w:rPr>
          <w:bCs/>
          <w:lang w:val="en-AU"/>
        </w:rPr>
        <w:t xml:space="preserve">es, most </w:t>
      </w:r>
      <w:r w:rsidR="00882353">
        <w:rPr>
          <w:bCs/>
          <w:lang w:val="en-AU"/>
        </w:rPr>
        <w:t>notab</w:t>
      </w:r>
      <w:r w:rsidR="00CF1338">
        <w:rPr>
          <w:bCs/>
          <w:lang w:val="en-AU"/>
        </w:rPr>
        <w:t>l</w:t>
      </w:r>
      <w:r w:rsidR="00B340D7">
        <w:rPr>
          <w:bCs/>
          <w:lang w:val="en-AU"/>
        </w:rPr>
        <w:t>y</w:t>
      </w:r>
      <w:r w:rsidR="00882353">
        <w:rPr>
          <w:bCs/>
          <w:lang w:val="en-AU"/>
        </w:rPr>
        <w:t xml:space="preserve"> </w:t>
      </w:r>
      <w:r w:rsidRPr="003F1F5B">
        <w:rPr>
          <w:bCs/>
          <w:lang w:val="en-AU"/>
        </w:rPr>
        <w:t>articulatory-motor programming</w:t>
      </w:r>
      <w:r w:rsidR="00124DDD">
        <w:rPr>
          <w:bCs/>
          <w:lang w:val="en-AU"/>
        </w:rPr>
        <w:t xml:space="preserve">, and is </w:t>
      </w:r>
      <w:r w:rsidR="00124DDD" w:rsidRPr="003F1F5B">
        <w:rPr>
          <w:bCs/>
          <w:lang w:val="en-AU"/>
        </w:rPr>
        <w:t>associated with damage to the left insula and central operculum</w:t>
      </w:r>
      <w:r w:rsidRPr="003F1F5B">
        <w:rPr>
          <w:bCs/>
          <w:lang w:val="en-AU"/>
        </w:rPr>
        <w:t xml:space="preserve">. The second factor </w:t>
      </w:r>
      <w:r w:rsidR="00124DDD">
        <w:rPr>
          <w:bCs/>
          <w:lang w:val="en-AU"/>
        </w:rPr>
        <w:t xml:space="preserve">is </w:t>
      </w:r>
      <w:r w:rsidR="00124DDD" w:rsidRPr="003F1F5B">
        <w:rPr>
          <w:bCs/>
          <w:lang w:val="en-AU"/>
        </w:rPr>
        <w:t xml:space="preserve">a </w:t>
      </w:r>
      <w:r w:rsidR="00882353">
        <w:rPr>
          <w:bCs/>
          <w:lang w:val="en-AU"/>
        </w:rPr>
        <w:t>difficulty</w:t>
      </w:r>
      <w:r w:rsidR="00124DDD">
        <w:rPr>
          <w:bCs/>
          <w:lang w:val="en-AU"/>
        </w:rPr>
        <w:t xml:space="preserve"> with</w:t>
      </w:r>
      <w:r w:rsidR="00124DDD" w:rsidRPr="003F1F5B">
        <w:rPr>
          <w:bCs/>
          <w:lang w:val="en-AU"/>
        </w:rPr>
        <w:t xml:space="preserve"> top-down control of language</w:t>
      </w:r>
      <w:r w:rsidR="00124DDD">
        <w:rPr>
          <w:bCs/>
          <w:lang w:val="en-AU"/>
        </w:rPr>
        <w:t xml:space="preserve">, </w:t>
      </w:r>
      <w:r>
        <w:rPr>
          <w:bCs/>
          <w:lang w:val="en-AU"/>
        </w:rPr>
        <w:t>associated with left</w:t>
      </w:r>
      <w:r w:rsidRPr="003F1F5B">
        <w:rPr>
          <w:bCs/>
          <w:lang w:val="en-AU"/>
        </w:rPr>
        <w:t xml:space="preserve"> </w:t>
      </w:r>
      <w:r>
        <w:rPr>
          <w:bCs/>
          <w:lang w:val="en-AU"/>
        </w:rPr>
        <w:t>inferior and</w:t>
      </w:r>
      <w:r w:rsidRPr="003F1F5B">
        <w:rPr>
          <w:bCs/>
          <w:lang w:val="en-AU"/>
        </w:rPr>
        <w:t xml:space="preserve"> middle frontal gyr</w:t>
      </w:r>
      <w:r>
        <w:rPr>
          <w:bCs/>
          <w:lang w:val="en-AU"/>
        </w:rPr>
        <w:t>us damage. We suggest</w:t>
      </w:r>
      <w:r w:rsidRPr="003F1F5B">
        <w:rPr>
          <w:bCs/>
          <w:lang w:val="en-AU"/>
        </w:rPr>
        <w:t xml:space="preserve"> </w:t>
      </w:r>
      <w:r>
        <w:rPr>
          <w:bCs/>
          <w:lang w:val="en-AU"/>
        </w:rPr>
        <w:t xml:space="preserve">this </w:t>
      </w:r>
      <w:r w:rsidR="00124DDD">
        <w:rPr>
          <w:bCs/>
          <w:lang w:val="en-AU"/>
        </w:rPr>
        <w:t xml:space="preserve">latter </w:t>
      </w:r>
      <w:r>
        <w:rPr>
          <w:bCs/>
          <w:lang w:val="en-AU"/>
        </w:rPr>
        <w:t xml:space="preserve">difficulty </w:t>
      </w:r>
      <w:r w:rsidR="00882353">
        <w:rPr>
          <w:bCs/>
          <w:lang w:val="en-AU"/>
        </w:rPr>
        <w:t>is a consequence of</w:t>
      </w:r>
      <w:r w:rsidRPr="003F1F5B">
        <w:rPr>
          <w:bCs/>
          <w:lang w:val="en-AU"/>
        </w:rPr>
        <w:t xml:space="preserve"> </w:t>
      </w:r>
      <w:r w:rsidR="00CF1338">
        <w:rPr>
          <w:bCs/>
          <w:lang w:val="en-AU"/>
        </w:rPr>
        <w:t>problems</w:t>
      </w:r>
      <w:r w:rsidR="00882353">
        <w:rPr>
          <w:bCs/>
          <w:lang w:val="en-AU"/>
        </w:rPr>
        <w:t xml:space="preserve"> generating and maintaining</w:t>
      </w:r>
      <w:r w:rsidRPr="003F1F5B">
        <w:rPr>
          <w:bCs/>
          <w:lang w:val="en-AU"/>
        </w:rPr>
        <w:t xml:space="preserve"> a robust message-level representation to drive the </w:t>
      </w:r>
      <w:r w:rsidR="00882353">
        <w:rPr>
          <w:bCs/>
          <w:lang w:val="en-AU"/>
        </w:rPr>
        <w:t>language element</w:t>
      </w:r>
      <w:r>
        <w:rPr>
          <w:bCs/>
          <w:lang w:val="en-AU"/>
        </w:rPr>
        <w:t xml:space="preserve"> </w:t>
      </w:r>
      <w:r w:rsidRPr="003F1F5B">
        <w:rPr>
          <w:bCs/>
          <w:lang w:val="en-AU"/>
        </w:rPr>
        <w:t xml:space="preserve">selection </w:t>
      </w:r>
      <w:r>
        <w:rPr>
          <w:bCs/>
          <w:lang w:val="en-AU"/>
        </w:rPr>
        <w:t>process</w:t>
      </w:r>
      <w:r w:rsidRPr="003F1F5B">
        <w:rPr>
          <w:bCs/>
          <w:lang w:val="en-AU"/>
        </w:rPr>
        <w:t xml:space="preserve">. </w:t>
      </w:r>
    </w:p>
    <w:p w14:paraId="68632B61" w14:textId="77777777" w:rsidR="003F1F5B" w:rsidRPr="005A5DEE" w:rsidRDefault="003F1F5B" w:rsidP="003F1F5B">
      <w:pPr>
        <w:rPr>
          <w:sz w:val="22"/>
        </w:rPr>
      </w:pPr>
    </w:p>
    <w:p w14:paraId="2E6DB3C6" w14:textId="77777777" w:rsidR="003F1F5B" w:rsidRDefault="003F1F5B" w:rsidP="003F1F5B">
      <w:pPr>
        <w:pStyle w:val="Univeristy"/>
        <w:adjustRightInd w:val="0"/>
        <w:snapToGrid w:val="0"/>
        <w:spacing w:after="0"/>
        <w:ind w:firstLine="0"/>
        <w:rPr>
          <w:b/>
          <w:bCs/>
          <w:sz w:val="22"/>
        </w:rPr>
      </w:pPr>
    </w:p>
    <w:p w14:paraId="75C9EE18" w14:textId="64CA94D6" w:rsidR="00130788" w:rsidRPr="005A5DEE" w:rsidRDefault="00D60472" w:rsidP="003F1F5B">
      <w:pPr>
        <w:pStyle w:val="Univeristy"/>
        <w:adjustRightInd w:val="0"/>
        <w:snapToGrid w:val="0"/>
        <w:spacing w:after="0"/>
        <w:ind w:firstLine="0"/>
        <w:rPr>
          <w:rStyle w:val="Heading5Char"/>
          <w:b/>
          <w:bCs/>
          <w:i w:val="0"/>
          <w:iCs/>
          <w:sz w:val="22"/>
        </w:rPr>
      </w:pPr>
      <w:r w:rsidRPr="00D60472">
        <w:rPr>
          <w:b/>
          <w:bCs/>
          <w:sz w:val="22"/>
        </w:rPr>
        <w:t xml:space="preserve">Keywords: Aphasia, Nonfluent aphasia, Sentence production, Left inferior frontal gyrus, </w:t>
      </w:r>
      <w:r w:rsidR="00124DDD">
        <w:rPr>
          <w:b/>
          <w:bCs/>
          <w:sz w:val="22"/>
        </w:rPr>
        <w:t>V</w:t>
      </w:r>
      <w:r w:rsidR="00102C4A">
        <w:rPr>
          <w:b/>
          <w:bCs/>
          <w:sz w:val="22"/>
        </w:rPr>
        <w:t>oxel-based lesion-symptom mapping</w:t>
      </w:r>
      <w:r w:rsidR="005D2304" w:rsidRPr="005A5DEE">
        <w:rPr>
          <w:b/>
          <w:bCs/>
          <w:sz w:val="22"/>
        </w:rPr>
        <w:t>.</w:t>
      </w:r>
    </w:p>
    <w:p w14:paraId="1C94E86E" w14:textId="77777777" w:rsidR="00136DE7" w:rsidRPr="005A5DEE" w:rsidRDefault="00136DE7">
      <w:pPr>
        <w:spacing w:after="160" w:line="259" w:lineRule="auto"/>
        <w:ind w:firstLine="720"/>
        <w:rPr>
          <w:rFonts w:cstheme="minorBidi"/>
          <w:b/>
          <w:bCs/>
          <w:sz w:val="22"/>
        </w:rPr>
      </w:pPr>
      <w:r w:rsidRPr="005A5DEE">
        <w:rPr>
          <w:b/>
          <w:bCs/>
          <w:sz w:val="22"/>
        </w:rPr>
        <w:br w:type="page"/>
      </w:r>
    </w:p>
    <w:p w14:paraId="52F34C62" w14:textId="77777777" w:rsidR="00B340D7" w:rsidRDefault="00B340D7" w:rsidP="00B340D7">
      <w:pPr>
        <w:spacing w:line="480" w:lineRule="auto"/>
        <w:jc w:val="center"/>
      </w:pPr>
      <w:bookmarkStart w:id="0" w:name="_Toc528570211"/>
      <w:bookmarkStart w:id="1" w:name="_Toc9588290"/>
      <w:r>
        <w:lastRenderedPageBreak/>
        <w:t>Which processes are crucial for effective sentence production? Behavioural and lesion-mapping evidence from chronic aphasia</w:t>
      </w:r>
    </w:p>
    <w:p w14:paraId="5AC63972" w14:textId="77777777" w:rsidR="00B340D7" w:rsidRDefault="00B340D7" w:rsidP="00B340D7">
      <w:pPr>
        <w:spacing w:line="480" w:lineRule="auto"/>
        <w:jc w:val="center"/>
      </w:pPr>
    </w:p>
    <w:p w14:paraId="4092EC46" w14:textId="77777777" w:rsidR="002C7746" w:rsidRPr="002C7746" w:rsidRDefault="002C7746" w:rsidP="002C7746">
      <w:pPr>
        <w:spacing w:line="480" w:lineRule="auto"/>
        <w:jc w:val="center"/>
        <w:rPr>
          <w:b/>
          <w:bCs/>
          <w:lang w:val="en-AU"/>
        </w:rPr>
      </w:pPr>
      <w:r w:rsidRPr="002C7746">
        <w:rPr>
          <w:b/>
          <w:bCs/>
          <w:lang w:val="en-AU"/>
        </w:rPr>
        <w:t>1. Introduction</w:t>
      </w:r>
    </w:p>
    <w:p w14:paraId="2C404E03" w14:textId="41750022" w:rsidR="00824F7A" w:rsidRDefault="00091DAC" w:rsidP="00824F7A">
      <w:pPr>
        <w:spacing w:line="480" w:lineRule="auto"/>
        <w:ind w:firstLine="720"/>
        <w:rPr>
          <w:szCs w:val="22"/>
        </w:rPr>
      </w:pPr>
      <w:r>
        <w:rPr>
          <w:lang w:val="en-AU"/>
        </w:rPr>
        <w:t>L</w:t>
      </w:r>
      <w:r w:rsidR="00824F7A">
        <w:rPr>
          <w:lang w:val="en-AU"/>
        </w:rPr>
        <w:t>esion mapping studies of neuropsychological samples have found that the ability to produce fluent, well-formed sentences is dependent upon the integrity of an extensive left perisylvian network. Poor scores on measures of speech fluency and grammatical wellformedness have been consistently associated with pathology in anterior language regions including the left inferior frontal gyrus (LIFG), the insula and precentral gyr</w:t>
      </w:r>
      <w:r w:rsidR="00824F7A" w:rsidRPr="00CC0F2A">
        <w:rPr>
          <w:lang w:val="en-AU"/>
        </w:rPr>
        <w:t>us</w:t>
      </w:r>
      <w:r w:rsidR="00824F7A">
        <w:rPr>
          <w:lang w:val="en-AU"/>
        </w:rPr>
        <w:t xml:space="preserve">, and also in more posterior regions such as the inferior parietal lobe and the posterior superior temporal gyrus, </w:t>
      </w:r>
      <w:r w:rsidR="009E67EF">
        <w:rPr>
          <w:lang w:val="en-AU"/>
        </w:rPr>
        <w:t xml:space="preserve">and this is the case </w:t>
      </w:r>
      <w:r w:rsidR="00824F7A">
        <w:rPr>
          <w:lang w:val="en-AU"/>
        </w:rPr>
        <w:t>even after factoring out variance due to volume size (</w:t>
      </w:r>
      <w:r w:rsidR="00824F7A" w:rsidRPr="00CC0F2A">
        <w:rPr>
          <w:lang w:val="en-AU"/>
        </w:rPr>
        <w:t>str</w:t>
      </w:r>
      <w:r w:rsidR="00824F7A">
        <w:rPr>
          <w:lang w:val="en-AU"/>
        </w:rPr>
        <w:t xml:space="preserve">oke: </w:t>
      </w:r>
      <w:r w:rsidR="00824F7A" w:rsidRPr="00854117">
        <w:rPr>
          <w:lang w:val="en-AU"/>
        </w:rPr>
        <w:t>Basilakos et al., 2014</w:t>
      </w:r>
      <w:r w:rsidR="00824F7A">
        <w:rPr>
          <w:lang w:val="en-AU"/>
        </w:rPr>
        <w:t>;</w:t>
      </w:r>
      <w:r w:rsidR="00824F7A" w:rsidRPr="000953EE">
        <w:rPr>
          <w:lang w:val="en-AU"/>
        </w:rPr>
        <w:t xml:space="preserve"> </w:t>
      </w:r>
      <w:r w:rsidR="00824F7A">
        <w:rPr>
          <w:lang w:val="en-AU"/>
        </w:rPr>
        <w:t>de Ouden et al., 2019; Ding et al., 2020;</w:t>
      </w:r>
      <w:r w:rsidR="00824F7A" w:rsidRPr="00854117">
        <w:rPr>
          <w:lang w:val="en-AU"/>
        </w:rPr>
        <w:t xml:space="preserve"> Halai et al. 2017, 2018; Lacey et al., 2017; </w:t>
      </w:r>
      <w:r w:rsidR="00824F7A">
        <w:rPr>
          <w:lang w:val="en-AU"/>
        </w:rPr>
        <w:t xml:space="preserve">Mirman et al., 2019; </w:t>
      </w:r>
      <w:r w:rsidR="00824F7A" w:rsidRPr="0077688D">
        <w:rPr>
          <w:lang w:val="en-AU"/>
        </w:rPr>
        <w:t>primary progressive aphasia: Rogalski et al., 2011</w:t>
      </w:r>
      <w:r w:rsidR="00824F7A">
        <w:rPr>
          <w:lang w:val="en-AU"/>
        </w:rPr>
        <w:t>)</w:t>
      </w:r>
      <w:r w:rsidR="00824F7A">
        <w:t>.</w:t>
      </w:r>
      <w:r w:rsidR="00824F7A">
        <w:rPr>
          <w:lang w:val="en-AU"/>
        </w:rPr>
        <w:t xml:space="preserve"> Indeed, the lesion maps obtained are remarkably similar, irrespective of whether the key measure emphasises fluency (</w:t>
      </w:r>
      <w:r w:rsidR="00824F7A" w:rsidRPr="00D5046A">
        <w:rPr>
          <w:szCs w:val="22"/>
        </w:rPr>
        <w:t>Borovsky et al.</w:t>
      </w:r>
      <w:r w:rsidR="00824F7A">
        <w:rPr>
          <w:szCs w:val="22"/>
        </w:rPr>
        <w:t xml:space="preserve">, </w:t>
      </w:r>
      <w:r w:rsidR="00824F7A" w:rsidRPr="00D5046A">
        <w:rPr>
          <w:szCs w:val="22"/>
        </w:rPr>
        <w:t>2007</w:t>
      </w:r>
      <w:r w:rsidR="00824F7A">
        <w:t xml:space="preserve">; </w:t>
      </w:r>
      <w:r w:rsidR="00824F7A" w:rsidRPr="00D5046A">
        <w:rPr>
          <w:szCs w:val="22"/>
        </w:rPr>
        <w:t>Halai et al.</w:t>
      </w:r>
      <w:r w:rsidR="00824F7A">
        <w:rPr>
          <w:szCs w:val="22"/>
        </w:rPr>
        <w:t xml:space="preserve">, </w:t>
      </w:r>
      <w:r w:rsidR="00824F7A" w:rsidRPr="00D5046A">
        <w:rPr>
          <w:szCs w:val="22"/>
        </w:rPr>
        <w:t>2017, 2018</w:t>
      </w:r>
      <w:r w:rsidR="00824F7A">
        <w:t xml:space="preserve">; </w:t>
      </w:r>
      <w:r w:rsidR="00824F7A" w:rsidRPr="00D5046A">
        <w:rPr>
          <w:szCs w:val="22"/>
        </w:rPr>
        <w:t>Lacey et al.</w:t>
      </w:r>
      <w:r w:rsidR="00824F7A">
        <w:rPr>
          <w:szCs w:val="22"/>
        </w:rPr>
        <w:t xml:space="preserve">, </w:t>
      </w:r>
      <w:r w:rsidR="00824F7A" w:rsidRPr="00D5046A">
        <w:rPr>
          <w:szCs w:val="22"/>
        </w:rPr>
        <w:t>2017</w:t>
      </w:r>
      <w:r w:rsidR="00824F7A">
        <w:t xml:space="preserve">; </w:t>
      </w:r>
      <w:r w:rsidR="00824F7A" w:rsidRPr="00D5046A">
        <w:rPr>
          <w:szCs w:val="22"/>
        </w:rPr>
        <w:t>Rogalski et al</w:t>
      </w:r>
      <w:r w:rsidR="00824F7A">
        <w:rPr>
          <w:szCs w:val="22"/>
        </w:rPr>
        <w:t xml:space="preserve">., </w:t>
      </w:r>
      <w:r w:rsidR="00824F7A" w:rsidRPr="00D5046A">
        <w:rPr>
          <w:szCs w:val="22"/>
        </w:rPr>
        <w:t>2011</w:t>
      </w:r>
      <w:r w:rsidR="00824F7A">
        <w:t xml:space="preserve">; </w:t>
      </w:r>
      <w:r w:rsidR="00824F7A" w:rsidRPr="00D5046A">
        <w:rPr>
          <w:szCs w:val="22"/>
        </w:rPr>
        <w:t>Wilson et al.</w:t>
      </w:r>
      <w:r w:rsidR="00824F7A">
        <w:rPr>
          <w:szCs w:val="22"/>
        </w:rPr>
        <w:t xml:space="preserve">, </w:t>
      </w:r>
      <w:r w:rsidR="00824F7A" w:rsidRPr="00D5046A">
        <w:rPr>
          <w:szCs w:val="22"/>
        </w:rPr>
        <w:t>2010</w:t>
      </w:r>
      <w:r w:rsidR="00824F7A">
        <w:t xml:space="preserve">; </w:t>
      </w:r>
      <w:r w:rsidR="00824F7A" w:rsidRPr="00D5046A">
        <w:rPr>
          <w:szCs w:val="22"/>
        </w:rPr>
        <w:t>Yourganov et al.</w:t>
      </w:r>
      <w:r w:rsidR="00824F7A">
        <w:rPr>
          <w:szCs w:val="22"/>
        </w:rPr>
        <w:t xml:space="preserve">, </w:t>
      </w:r>
      <w:r w:rsidR="00824F7A" w:rsidRPr="00D5046A">
        <w:rPr>
          <w:szCs w:val="22"/>
        </w:rPr>
        <w:t>2016</w:t>
      </w:r>
      <w:r w:rsidR="00824F7A">
        <w:rPr>
          <w:lang w:val="en-AU"/>
        </w:rPr>
        <w:t xml:space="preserve">) or some aspect of grammatical wellformedness (e.g., the proportion of words produced in complete sentences during speech, or the </w:t>
      </w:r>
      <w:r w:rsidR="009F543B">
        <w:rPr>
          <w:lang w:val="en-AU"/>
        </w:rPr>
        <w:t>prevalence</w:t>
      </w:r>
      <w:r w:rsidR="00824F7A">
        <w:rPr>
          <w:lang w:val="en-AU"/>
        </w:rPr>
        <w:t xml:space="preserve"> of grammatical function words; </w:t>
      </w:r>
      <w:r w:rsidR="00824F7A" w:rsidRPr="00A65823">
        <w:rPr>
          <w:lang w:val="en-AU"/>
        </w:rPr>
        <w:t>den Ouden et al., 2019; Faroqi-Shah et al., 2014; Mirman et al., 2019; Rogalski et al, 2011</w:t>
      </w:r>
      <w:r w:rsidR="00824F7A">
        <w:rPr>
          <w:lang w:val="en-AU"/>
        </w:rPr>
        <w:t xml:space="preserve">; </w:t>
      </w:r>
      <w:r w:rsidR="00824F7A" w:rsidRPr="00A65823">
        <w:rPr>
          <w:lang w:val="en-AU"/>
        </w:rPr>
        <w:t>Wilson et al., 2010</w:t>
      </w:r>
      <w:r w:rsidR="009D646A">
        <w:rPr>
          <w:lang w:val="en-AU"/>
        </w:rPr>
        <w:t>; b</w:t>
      </w:r>
      <w:r w:rsidR="0072587A">
        <w:rPr>
          <w:lang w:val="en-AU"/>
        </w:rPr>
        <w:t>ut</w:t>
      </w:r>
      <w:r w:rsidR="009D646A">
        <w:rPr>
          <w:lang w:val="en-AU"/>
        </w:rPr>
        <w:t xml:space="preserve"> see </w:t>
      </w:r>
      <w:r w:rsidR="009D646A" w:rsidRPr="00A65823">
        <w:rPr>
          <w:lang w:val="en-AU"/>
        </w:rPr>
        <w:t>Ding et al., 2020</w:t>
      </w:r>
      <w:r w:rsidR="009D646A">
        <w:rPr>
          <w:lang w:val="en-AU"/>
        </w:rPr>
        <w:t xml:space="preserve"> for evidence for some </w:t>
      </w:r>
      <w:r w:rsidR="00FA1B93">
        <w:rPr>
          <w:lang w:val="en-AU"/>
        </w:rPr>
        <w:t xml:space="preserve">dissociation </w:t>
      </w:r>
      <w:r w:rsidR="009D646A">
        <w:rPr>
          <w:lang w:val="en-AU"/>
        </w:rPr>
        <w:t>between these two measures in large acute stroke sample</w:t>
      </w:r>
      <w:r w:rsidR="00824F7A">
        <w:rPr>
          <w:lang w:val="en-AU"/>
        </w:rPr>
        <w:t>).</w:t>
      </w:r>
      <w:r w:rsidR="00824F7A">
        <w:rPr>
          <w:szCs w:val="22"/>
        </w:rPr>
        <w:t xml:space="preserve"> </w:t>
      </w:r>
    </w:p>
    <w:p w14:paraId="39FDA674" w14:textId="6D9389FC" w:rsidR="00824F7A" w:rsidRDefault="00824F7A" w:rsidP="00824F7A">
      <w:pPr>
        <w:spacing w:line="480" w:lineRule="auto"/>
        <w:ind w:firstLine="720"/>
        <w:rPr>
          <w:szCs w:val="22"/>
        </w:rPr>
      </w:pPr>
      <w:r>
        <w:rPr>
          <w:szCs w:val="22"/>
        </w:rPr>
        <w:t xml:space="preserve">The extensiveness of these lesion maps is perhaps not surprising, given that the production of fluent, well-formed speech is likely to depend upon a whole host of language processes that are not unique to sentences. In order to isolate the regions whose role is more specific to sentence production, some researchers have </w:t>
      </w:r>
      <w:r w:rsidR="00124DDD">
        <w:rPr>
          <w:szCs w:val="22"/>
        </w:rPr>
        <w:t>attempted</w:t>
      </w:r>
      <w:r>
        <w:rPr>
          <w:szCs w:val="22"/>
        </w:rPr>
        <w:t xml:space="preserve"> to minimise demands on </w:t>
      </w:r>
      <w:r w:rsidR="0062170B">
        <w:rPr>
          <w:szCs w:val="22"/>
        </w:rPr>
        <w:t xml:space="preserve">language </w:t>
      </w:r>
      <w:r>
        <w:rPr>
          <w:szCs w:val="22"/>
        </w:rPr>
        <w:t>processes</w:t>
      </w:r>
      <w:r w:rsidR="0062170B">
        <w:rPr>
          <w:szCs w:val="22"/>
        </w:rPr>
        <w:t xml:space="preserve"> not of central interest</w:t>
      </w:r>
      <w:r>
        <w:rPr>
          <w:szCs w:val="22"/>
        </w:rPr>
        <w:t xml:space="preserve">. For example, </w:t>
      </w:r>
      <w:r w:rsidRPr="006D19D0">
        <w:rPr>
          <w:szCs w:val="22"/>
        </w:rPr>
        <w:t>Rogalski et al. (2011)</w:t>
      </w:r>
      <w:r>
        <w:rPr>
          <w:szCs w:val="22"/>
        </w:rPr>
        <w:t xml:space="preserve"> asked </w:t>
      </w:r>
      <w:r w:rsidR="00FA1B93">
        <w:rPr>
          <w:szCs w:val="22"/>
        </w:rPr>
        <w:t>participants</w:t>
      </w:r>
      <w:r>
        <w:rPr>
          <w:szCs w:val="22"/>
        </w:rPr>
        <w:t xml:space="preserve"> to order </w:t>
      </w:r>
      <w:r w:rsidR="00FA1B93">
        <w:rPr>
          <w:szCs w:val="22"/>
        </w:rPr>
        <w:t>a series of word</w:t>
      </w:r>
      <w:r>
        <w:rPr>
          <w:szCs w:val="22"/>
        </w:rPr>
        <w:t xml:space="preserve"> cards into a sequence that described </w:t>
      </w:r>
      <w:r w:rsidR="00FA1B93">
        <w:rPr>
          <w:szCs w:val="22"/>
        </w:rPr>
        <w:t>a pictured</w:t>
      </w:r>
      <w:r>
        <w:rPr>
          <w:szCs w:val="22"/>
        </w:rPr>
        <w:t xml:space="preserve"> action. </w:t>
      </w:r>
      <w:r w:rsidR="006134DA">
        <w:rPr>
          <w:szCs w:val="22"/>
        </w:rPr>
        <w:t xml:space="preserve">Again using a pictured action description </w:t>
      </w:r>
      <w:r w:rsidR="006134DA">
        <w:rPr>
          <w:szCs w:val="22"/>
        </w:rPr>
        <w:lastRenderedPageBreak/>
        <w:t>task, d</w:t>
      </w:r>
      <w:r w:rsidR="006134DA" w:rsidRPr="0025382B">
        <w:rPr>
          <w:szCs w:val="22"/>
        </w:rPr>
        <w:t>en Ouden et al (2019)</w:t>
      </w:r>
      <w:r w:rsidR="006134DA">
        <w:rPr>
          <w:szCs w:val="22"/>
        </w:rPr>
        <w:t xml:space="preserve"> </w:t>
      </w:r>
      <w:r w:rsidR="0062170B">
        <w:rPr>
          <w:szCs w:val="22"/>
        </w:rPr>
        <w:t>presented participants with action scenes which were labelled with</w:t>
      </w:r>
      <w:r w:rsidR="006134DA">
        <w:rPr>
          <w:szCs w:val="22"/>
        </w:rPr>
        <w:t xml:space="preserve"> the key nouns and verb</w:t>
      </w:r>
      <w:r w:rsidR="0062170B">
        <w:rPr>
          <w:szCs w:val="22"/>
        </w:rPr>
        <w:t>;</w:t>
      </w:r>
      <w:r w:rsidR="006134DA">
        <w:rPr>
          <w:szCs w:val="22"/>
        </w:rPr>
        <w:t xml:space="preserve"> participants </w:t>
      </w:r>
      <w:r w:rsidR="004A7C71">
        <w:rPr>
          <w:szCs w:val="22"/>
        </w:rPr>
        <w:t xml:space="preserve">had </w:t>
      </w:r>
      <w:r w:rsidR="006134DA">
        <w:rPr>
          <w:szCs w:val="22"/>
        </w:rPr>
        <w:t xml:space="preserve">to generate the full sentence (see also </w:t>
      </w:r>
      <w:r w:rsidR="006134DA" w:rsidRPr="009E73FC">
        <w:rPr>
          <w:szCs w:val="22"/>
        </w:rPr>
        <w:t>Faroqi-Shah et al.</w:t>
      </w:r>
      <w:r w:rsidR="006134DA">
        <w:rPr>
          <w:szCs w:val="22"/>
        </w:rPr>
        <w:t xml:space="preserve">, </w:t>
      </w:r>
      <w:r w:rsidRPr="009E73FC">
        <w:rPr>
          <w:szCs w:val="22"/>
        </w:rPr>
        <w:t>2014)</w:t>
      </w:r>
      <w:r>
        <w:rPr>
          <w:szCs w:val="22"/>
        </w:rPr>
        <w:t xml:space="preserve">. However, the findings using such methods have been inconsistent. Rogalski et al. (2011) found that, in a sample of primary progressive aphasia patients, poor scores on their card ordering task were associated with reduced cortical thickness in an extensive region, including the left </w:t>
      </w:r>
      <w:r w:rsidRPr="00A33B32">
        <w:rPr>
          <w:szCs w:val="22"/>
        </w:rPr>
        <w:t>superior and inferior frontal gyri</w:t>
      </w:r>
      <w:r>
        <w:rPr>
          <w:szCs w:val="22"/>
        </w:rPr>
        <w:t>, and extending into the precentral and postcentral gyri and the supramarginal gyrus</w:t>
      </w:r>
      <w:r w:rsidRPr="00A33B32">
        <w:rPr>
          <w:szCs w:val="22"/>
        </w:rPr>
        <w:t>.</w:t>
      </w:r>
      <w:r>
        <w:rPr>
          <w:szCs w:val="22"/>
        </w:rPr>
        <w:t xml:space="preserve"> Perhaps even more surprisingly, in a chronic stroke sample, den Ouden et al.</w:t>
      </w:r>
      <w:r w:rsidR="008A7D35">
        <w:rPr>
          <w:szCs w:val="22"/>
        </w:rPr>
        <w:t xml:space="preserve"> </w:t>
      </w:r>
      <w:r>
        <w:rPr>
          <w:szCs w:val="22"/>
        </w:rPr>
        <w:t xml:space="preserve">(2019) found that poor scores on their </w:t>
      </w:r>
      <w:r w:rsidR="007324E6">
        <w:rPr>
          <w:szCs w:val="22"/>
        </w:rPr>
        <w:t xml:space="preserve">lexically-supported sentence </w:t>
      </w:r>
      <w:r w:rsidR="0062170B">
        <w:rPr>
          <w:szCs w:val="22"/>
        </w:rPr>
        <w:t xml:space="preserve">production </w:t>
      </w:r>
      <w:r>
        <w:rPr>
          <w:szCs w:val="22"/>
        </w:rPr>
        <w:t>task were associated with pathology restricted entirely to the left temporal lobe (</w:t>
      </w:r>
      <w:r w:rsidR="00365E85">
        <w:rPr>
          <w:szCs w:val="22"/>
        </w:rPr>
        <w:t>most notably</w:t>
      </w:r>
      <w:r>
        <w:rPr>
          <w:szCs w:val="22"/>
        </w:rPr>
        <w:t xml:space="preserve">, </w:t>
      </w:r>
      <w:r w:rsidRPr="00297FC9">
        <w:rPr>
          <w:szCs w:val="22"/>
        </w:rPr>
        <w:t>the posterior superior temporal gyrus</w:t>
      </w:r>
      <w:r>
        <w:rPr>
          <w:szCs w:val="22"/>
        </w:rPr>
        <w:t>)</w:t>
      </w:r>
      <w:r w:rsidRPr="00991251">
        <w:rPr>
          <w:szCs w:val="22"/>
        </w:rPr>
        <w:t xml:space="preserve">. </w:t>
      </w:r>
      <w:r>
        <w:rPr>
          <w:szCs w:val="22"/>
        </w:rPr>
        <w:t xml:space="preserve">It may be that these kinds of modified tasks encourage the use of rather idiosyncratic strategies that are not utilised </w:t>
      </w:r>
      <w:r w:rsidR="00FA1B93">
        <w:rPr>
          <w:szCs w:val="22"/>
        </w:rPr>
        <w:t>in</w:t>
      </w:r>
      <w:r>
        <w:rPr>
          <w:szCs w:val="22"/>
        </w:rPr>
        <w:t xml:space="preserve"> more naturalistic </w:t>
      </w:r>
      <w:r w:rsidR="00FA1B93">
        <w:rPr>
          <w:szCs w:val="22"/>
        </w:rPr>
        <w:t>settings</w:t>
      </w:r>
      <w:r>
        <w:rPr>
          <w:szCs w:val="22"/>
        </w:rPr>
        <w:t xml:space="preserve">. </w:t>
      </w:r>
    </w:p>
    <w:p w14:paraId="44052857" w14:textId="2C07CA6B" w:rsidR="00B025EE" w:rsidRDefault="00824F7A" w:rsidP="00824F7A">
      <w:pPr>
        <w:spacing w:line="480" w:lineRule="auto"/>
        <w:ind w:firstLine="720"/>
        <w:rPr>
          <w:szCs w:val="22"/>
        </w:rPr>
      </w:pPr>
      <w:r>
        <w:rPr>
          <w:szCs w:val="22"/>
        </w:rPr>
        <w:t xml:space="preserve">An alternative approach </w:t>
      </w:r>
      <w:r w:rsidR="00FA1B93">
        <w:rPr>
          <w:szCs w:val="22"/>
        </w:rPr>
        <w:t>is</w:t>
      </w:r>
      <w:r>
        <w:rPr>
          <w:szCs w:val="22"/>
        </w:rPr>
        <w:t xml:space="preserve"> to use more open-ended speech tasks, but factor out any variability associated with processes not of interest. Mirman et al. (2019) calculated a measure of the proportion of words produced in sentences during open-ended speech, and then factored out variance associated with scores on a measure of articulatory ability (the number of articulatory errors produced during a single word repetition task). Scores on this residualised measure were found to be associated with pathology largely restricted to the LIFG</w:t>
      </w:r>
      <w:r w:rsidRPr="00EE243F">
        <w:rPr>
          <w:szCs w:val="22"/>
        </w:rPr>
        <w:t xml:space="preserve"> and middle frontal gyr</w:t>
      </w:r>
      <w:r>
        <w:rPr>
          <w:szCs w:val="22"/>
        </w:rPr>
        <w:t xml:space="preserve">us, a region the authors dubbed the </w:t>
      </w:r>
      <w:r w:rsidRPr="009E67EF">
        <w:rPr>
          <w:i/>
          <w:iCs/>
          <w:szCs w:val="22"/>
        </w:rPr>
        <w:t>frontal sentence structure component</w:t>
      </w:r>
      <w:r w:rsidR="009E67EF">
        <w:rPr>
          <w:szCs w:val="22"/>
        </w:rPr>
        <w:t xml:space="preserve">. As </w:t>
      </w:r>
      <w:r>
        <w:rPr>
          <w:szCs w:val="22"/>
        </w:rPr>
        <w:t>shown in Figure 1</w:t>
      </w:r>
      <w:r w:rsidR="009E67EF">
        <w:rPr>
          <w:szCs w:val="22"/>
        </w:rPr>
        <w:t>,</w:t>
      </w:r>
      <w:r>
        <w:rPr>
          <w:szCs w:val="22"/>
        </w:rPr>
        <w:t xml:space="preserve"> </w:t>
      </w:r>
      <w:r w:rsidR="009E67EF">
        <w:rPr>
          <w:szCs w:val="22"/>
        </w:rPr>
        <w:t>t</w:t>
      </w:r>
      <w:r>
        <w:rPr>
          <w:szCs w:val="22"/>
        </w:rPr>
        <w:t xml:space="preserve">his region </w:t>
      </w:r>
      <w:r w:rsidR="009E67EF">
        <w:rPr>
          <w:szCs w:val="22"/>
        </w:rPr>
        <w:t>showed no</w:t>
      </w:r>
      <w:r>
        <w:rPr>
          <w:szCs w:val="22"/>
        </w:rPr>
        <w:t xml:space="preserve"> overlap with </w:t>
      </w:r>
      <w:r w:rsidR="00102C4A">
        <w:rPr>
          <w:szCs w:val="22"/>
        </w:rPr>
        <w:t>the area</w:t>
      </w:r>
      <w:r>
        <w:rPr>
          <w:szCs w:val="22"/>
        </w:rPr>
        <w:t xml:space="preserve">s that have previously been implicated in: a) lexical-phonological retrieval and phonological processing; and b) semantically-driven word retrieval. </w:t>
      </w:r>
    </w:p>
    <w:p w14:paraId="679F47C1" w14:textId="5E2C61D6" w:rsidR="00EE243F" w:rsidRDefault="00824F7A" w:rsidP="00266EDE">
      <w:pPr>
        <w:spacing w:line="480" w:lineRule="auto"/>
        <w:ind w:firstLine="720"/>
        <w:rPr>
          <w:szCs w:val="22"/>
        </w:rPr>
      </w:pPr>
      <w:r>
        <w:t xml:space="preserve">Some converging support </w:t>
      </w:r>
      <w:r w:rsidR="004A7C71">
        <w:t xml:space="preserve">for </w:t>
      </w:r>
      <w:r w:rsidR="007324E6">
        <w:t>Mirman et al.’s</w:t>
      </w:r>
      <w:r>
        <w:t xml:space="preserve"> </w:t>
      </w:r>
      <w:r w:rsidR="0062170B">
        <w:t>notion</w:t>
      </w:r>
      <w:r>
        <w:t xml:space="preserve"> of a left prefr</w:t>
      </w:r>
      <w:r w:rsidR="009E67EF">
        <w:t>ont</w:t>
      </w:r>
      <w:r>
        <w:t xml:space="preserve">al </w:t>
      </w:r>
      <w:r w:rsidR="00F745FF">
        <w:t>“</w:t>
      </w:r>
      <w:r>
        <w:t>sentence building</w:t>
      </w:r>
      <w:r w:rsidR="00F745FF">
        <w:t>”</w:t>
      </w:r>
      <w:r>
        <w:t xml:space="preserve"> component </w:t>
      </w:r>
      <w:r>
        <w:rPr>
          <w:szCs w:val="22"/>
        </w:rPr>
        <w:t>comes from a recent e</w:t>
      </w:r>
      <w:r w:rsidRPr="00E80C9B">
        <w:rPr>
          <w:szCs w:val="22"/>
        </w:rPr>
        <w:t>lectrocortical stimulation stud</w:t>
      </w:r>
      <w:r>
        <w:rPr>
          <w:szCs w:val="22"/>
        </w:rPr>
        <w:t xml:space="preserve">y of </w:t>
      </w:r>
      <w:r w:rsidR="009E67EF">
        <w:rPr>
          <w:szCs w:val="22"/>
        </w:rPr>
        <w:t xml:space="preserve">14 </w:t>
      </w:r>
      <w:r>
        <w:rPr>
          <w:szCs w:val="22"/>
        </w:rPr>
        <w:t>awake craniotomy patients</w:t>
      </w:r>
      <w:r w:rsidR="00F745FF">
        <w:rPr>
          <w:szCs w:val="22"/>
        </w:rPr>
        <w:t xml:space="preserve"> </w:t>
      </w:r>
      <w:r w:rsidR="00F745FF" w:rsidRPr="00E80C9B">
        <w:rPr>
          <w:szCs w:val="22"/>
        </w:rPr>
        <w:t>(Chang, Kurteff &amp; Wilson, 2018)</w:t>
      </w:r>
      <w:r w:rsidR="00F745FF">
        <w:rPr>
          <w:szCs w:val="22"/>
        </w:rPr>
        <w:t>. Th</w:t>
      </w:r>
      <w:r w:rsidR="000367AB">
        <w:rPr>
          <w:szCs w:val="22"/>
        </w:rPr>
        <w:t>e</w:t>
      </w:r>
      <w:r>
        <w:rPr>
          <w:szCs w:val="22"/>
        </w:rPr>
        <w:t xml:space="preserve"> </w:t>
      </w:r>
      <w:r w:rsidR="009E67EF">
        <w:rPr>
          <w:szCs w:val="22"/>
        </w:rPr>
        <w:t>patients</w:t>
      </w:r>
      <w:r w:rsidR="000367AB">
        <w:rPr>
          <w:szCs w:val="22"/>
        </w:rPr>
        <w:t xml:space="preserve"> had to describe picture</w:t>
      </w:r>
      <w:r w:rsidR="007324E6">
        <w:rPr>
          <w:szCs w:val="22"/>
        </w:rPr>
        <w:t>d</w:t>
      </w:r>
      <w:r w:rsidR="000367AB">
        <w:rPr>
          <w:szCs w:val="22"/>
        </w:rPr>
        <w:t xml:space="preserve"> actions using </w:t>
      </w:r>
      <w:r w:rsidR="00D1054A">
        <w:rPr>
          <w:szCs w:val="22"/>
        </w:rPr>
        <w:t xml:space="preserve">simple sentences (e.g., </w:t>
      </w:r>
      <w:r w:rsidR="00D1054A" w:rsidRPr="00D1054A">
        <w:rPr>
          <w:i/>
          <w:iCs/>
          <w:szCs w:val="22"/>
        </w:rPr>
        <w:t>The boy is kissing the girl</w:t>
      </w:r>
      <w:r w:rsidR="00D1054A">
        <w:rPr>
          <w:szCs w:val="22"/>
        </w:rPr>
        <w:t xml:space="preserve">). </w:t>
      </w:r>
      <w:r w:rsidR="00266EDE">
        <w:rPr>
          <w:szCs w:val="22"/>
        </w:rPr>
        <w:t>In seven of the 14 patients, s</w:t>
      </w:r>
      <w:r w:rsidRPr="00E80C9B">
        <w:rPr>
          <w:szCs w:val="22"/>
        </w:rPr>
        <w:t xml:space="preserve">timulation </w:t>
      </w:r>
      <w:r>
        <w:rPr>
          <w:szCs w:val="22"/>
        </w:rPr>
        <w:t xml:space="preserve">of key sites in </w:t>
      </w:r>
      <w:r w:rsidRPr="00E80C9B">
        <w:rPr>
          <w:szCs w:val="22"/>
        </w:rPr>
        <w:t xml:space="preserve">the </w:t>
      </w:r>
      <w:r>
        <w:rPr>
          <w:szCs w:val="22"/>
        </w:rPr>
        <w:t>LIFG</w:t>
      </w:r>
      <w:r w:rsidR="00A260EC">
        <w:rPr>
          <w:szCs w:val="22"/>
        </w:rPr>
        <w:t xml:space="preserve"> </w:t>
      </w:r>
      <w:r>
        <w:rPr>
          <w:szCs w:val="22"/>
        </w:rPr>
        <w:t>(most commonly</w:t>
      </w:r>
      <w:r>
        <w:t>,</w:t>
      </w:r>
      <w:r>
        <w:rPr>
          <w:szCs w:val="22"/>
        </w:rPr>
        <w:t xml:space="preserve"> the pars opercularis)</w:t>
      </w:r>
      <w:r w:rsidRPr="00E80C9B">
        <w:rPr>
          <w:szCs w:val="22"/>
        </w:rPr>
        <w:t xml:space="preserve">, </w:t>
      </w:r>
      <w:r>
        <w:rPr>
          <w:szCs w:val="22"/>
        </w:rPr>
        <w:t>elicited syntactic errors</w:t>
      </w:r>
      <w:r w:rsidR="00266EDE">
        <w:rPr>
          <w:szCs w:val="22"/>
        </w:rPr>
        <w:t xml:space="preserve"> </w:t>
      </w:r>
      <w:r w:rsidR="00D1054A">
        <w:rPr>
          <w:szCs w:val="22"/>
        </w:rPr>
        <w:t>(e.g.</w:t>
      </w:r>
      <w:r>
        <w:rPr>
          <w:szCs w:val="22"/>
        </w:rPr>
        <w:t xml:space="preserve"> </w:t>
      </w:r>
      <w:r w:rsidR="00D1054A">
        <w:rPr>
          <w:szCs w:val="22"/>
        </w:rPr>
        <w:t>“</w:t>
      </w:r>
      <w:r w:rsidR="00D1054A" w:rsidRPr="00D1054A">
        <w:rPr>
          <w:rStyle w:val="Strong"/>
          <w:b w:val="0"/>
          <w:bCs w:val="0"/>
        </w:rPr>
        <w:t xml:space="preserve">the girl is kissing </w:t>
      </w:r>
      <w:r w:rsidR="00D1054A" w:rsidRPr="00D1054A">
        <w:rPr>
          <w:rStyle w:val="Strong"/>
          <w:b w:val="0"/>
          <w:bCs w:val="0"/>
        </w:rPr>
        <w:lastRenderedPageBreak/>
        <w:t>the</w:t>
      </w:r>
      <w:r w:rsidR="00D1054A">
        <w:rPr>
          <w:rStyle w:val="Strong"/>
          <w:b w:val="0"/>
          <w:bCs w:val="0"/>
        </w:rPr>
        <w:t>…</w:t>
      </w:r>
      <w:r w:rsidR="00D1054A" w:rsidRPr="00D1054A">
        <w:rPr>
          <w:rStyle w:val="Strong"/>
          <w:b w:val="0"/>
          <w:bCs w:val="0"/>
        </w:rPr>
        <w:t>the boy is kissing the</w:t>
      </w:r>
      <w:r w:rsidR="00D1054A">
        <w:rPr>
          <w:rStyle w:val="Strong"/>
          <w:b w:val="0"/>
          <w:bCs w:val="0"/>
        </w:rPr>
        <w:t>,</w:t>
      </w:r>
      <w:r w:rsidR="00D1054A" w:rsidRPr="00D1054A">
        <w:rPr>
          <w:rStyle w:val="Strong"/>
          <w:b w:val="0"/>
          <w:bCs w:val="0"/>
        </w:rPr>
        <w:t xml:space="preserve"> the girl</w:t>
      </w:r>
      <w:r w:rsidR="00D1054A">
        <w:rPr>
          <w:rStyle w:val="Strong"/>
          <w:b w:val="0"/>
          <w:bCs w:val="0"/>
        </w:rPr>
        <w:t>”</w:t>
      </w:r>
      <w:r w:rsidR="00D1054A" w:rsidRPr="00A260EC">
        <w:rPr>
          <w:rStyle w:val="Strong"/>
          <w:b w:val="0"/>
          <w:bCs w:val="0"/>
        </w:rPr>
        <w:t>)</w:t>
      </w:r>
      <w:r w:rsidR="00266EDE">
        <w:rPr>
          <w:szCs w:val="22"/>
        </w:rPr>
        <w:t>,</w:t>
      </w:r>
      <w:r w:rsidR="007324E6">
        <w:rPr>
          <w:szCs w:val="22"/>
        </w:rPr>
        <w:t xml:space="preserve"> without </w:t>
      </w:r>
      <w:r w:rsidR="006134DA">
        <w:rPr>
          <w:szCs w:val="22"/>
        </w:rPr>
        <w:t>compromising</w:t>
      </w:r>
      <w:r w:rsidRPr="00A260EC">
        <w:rPr>
          <w:szCs w:val="22"/>
        </w:rPr>
        <w:t xml:space="preserve"> performanc</w:t>
      </w:r>
      <w:r>
        <w:rPr>
          <w:szCs w:val="22"/>
        </w:rPr>
        <w:t xml:space="preserve">e on </w:t>
      </w:r>
      <w:r w:rsidRPr="00E80C9B">
        <w:rPr>
          <w:szCs w:val="22"/>
        </w:rPr>
        <w:t>counting, picture naming or repetition</w:t>
      </w:r>
      <w:r w:rsidR="00266EDE">
        <w:rPr>
          <w:szCs w:val="22"/>
        </w:rPr>
        <w:t xml:space="preserve">. </w:t>
      </w:r>
      <w:r w:rsidR="007324E6">
        <w:rPr>
          <w:szCs w:val="22"/>
        </w:rPr>
        <w:t>Figure 1 shows the</w:t>
      </w:r>
      <w:r>
        <w:rPr>
          <w:szCs w:val="22"/>
        </w:rPr>
        <w:t xml:space="preserve"> precise points of stimulation that elicited </w:t>
      </w:r>
      <w:r w:rsidR="006134DA">
        <w:rPr>
          <w:szCs w:val="22"/>
        </w:rPr>
        <w:t>this</w:t>
      </w:r>
      <w:r w:rsidR="007324E6">
        <w:rPr>
          <w:szCs w:val="22"/>
        </w:rPr>
        <w:t xml:space="preserve"> effect</w:t>
      </w:r>
      <w:r>
        <w:rPr>
          <w:szCs w:val="22"/>
        </w:rPr>
        <w:t>.</w:t>
      </w:r>
    </w:p>
    <w:p w14:paraId="19B2F63D" w14:textId="77777777" w:rsidR="007324E6" w:rsidRDefault="007324E6" w:rsidP="007324E6">
      <w:pPr>
        <w:ind w:firstLine="720"/>
        <w:rPr>
          <w:szCs w:val="22"/>
        </w:rPr>
      </w:pPr>
    </w:p>
    <w:p w14:paraId="186A2523" w14:textId="58C119DA" w:rsidR="00E46747" w:rsidRDefault="004749BC" w:rsidP="007324E6">
      <w:pPr>
        <w:spacing w:line="480" w:lineRule="auto"/>
        <w:jc w:val="center"/>
        <w:rPr>
          <w:szCs w:val="22"/>
        </w:rPr>
      </w:pPr>
      <w:r>
        <w:rPr>
          <w:noProof/>
          <w:szCs w:val="22"/>
        </w:rPr>
        <w:drawing>
          <wp:inline distT="0" distB="0" distL="0" distR="0" wp14:anchorId="0309ACB2" wp14:editId="46A5E8BA">
            <wp:extent cx="4064017" cy="19518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ified mirman n change dbl pan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8923" cy="1959051"/>
                    </a:xfrm>
                    <a:prstGeom prst="rect">
                      <a:avLst/>
                    </a:prstGeom>
                  </pic:spPr>
                </pic:pic>
              </a:graphicData>
            </a:graphic>
          </wp:inline>
        </w:drawing>
      </w:r>
    </w:p>
    <w:p w14:paraId="79703840" w14:textId="25471C76" w:rsidR="00E46747" w:rsidRPr="00BF1106" w:rsidRDefault="00E46747" w:rsidP="00E46747">
      <w:pPr>
        <w:rPr>
          <w:b/>
          <w:bCs/>
          <w:sz w:val="22"/>
          <w:szCs w:val="22"/>
        </w:rPr>
      </w:pPr>
      <w:r w:rsidRPr="00BF1106">
        <w:rPr>
          <w:b/>
          <w:bCs/>
          <w:sz w:val="22"/>
          <w:szCs w:val="22"/>
        </w:rPr>
        <w:t>Fig</w:t>
      </w:r>
      <w:r w:rsidR="00CD516D" w:rsidRPr="00BF1106">
        <w:rPr>
          <w:b/>
          <w:bCs/>
          <w:sz w:val="22"/>
          <w:szCs w:val="22"/>
        </w:rPr>
        <w:t>ure</w:t>
      </w:r>
      <w:r w:rsidRPr="00BF1106">
        <w:rPr>
          <w:b/>
          <w:bCs/>
          <w:sz w:val="22"/>
          <w:szCs w:val="22"/>
        </w:rPr>
        <w:t xml:space="preserve"> </w:t>
      </w:r>
      <w:r w:rsidR="00CD516D" w:rsidRPr="00BF1106">
        <w:rPr>
          <w:b/>
          <w:bCs/>
          <w:sz w:val="22"/>
          <w:szCs w:val="22"/>
        </w:rPr>
        <w:t>1</w:t>
      </w:r>
    </w:p>
    <w:p w14:paraId="41D9162F" w14:textId="0B1987CD" w:rsidR="00E46747" w:rsidRPr="00BF1106" w:rsidRDefault="008008FD" w:rsidP="00E46747">
      <w:pPr>
        <w:rPr>
          <w:sz w:val="22"/>
          <w:szCs w:val="22"/>
        </w:rPr>
      </w:pPr>
      <w:r w:rsidRPr="00BF1106">
        <w:rPr>
          <w:sz w:val="22"/>
          <w:szCs w:val="22"/>
        </w:rPr>
        <w:t>Panel a</w:t>
      </w:r>
      <w:r w:rsidR="004749BC" w:rsidRPr="00BF1106">
        <w:rPr>
          <w:sz w:val="22"/>
          <w:szCs w:val="22"/>
        </w:rPr>
        <w:t>)</w:t>
      </w:r>
      <w:r w:rsidRPr="00BF1106">
        <w:rPr>
          <w:sz w:val="22"/>
          <w:szCs w:val="22"/>
        </w:rPr>
        <w:t xml:space="preserve"> shows the l</w:t>
      </w:r>
      <w:r w:rsidR="005F796A" w:rsidRPr="00BF1106">
        <w:rPr>
          <w:sz w:val="22"/>
          <w:szCs w:val="22"/>
        </w:rPr>
        <w:t>ocation of</w:t>
      </w:r>
      <w:r w:rsidR="00E46747" w:rsidRPr="00BF1106">
        <w:rPr>
          <w:sz w:val="22"/>
          <w:szCs w:val="22"/>
        </w:rPr>
        <w:t xml:space="preserve"> </w:t>
      </w:r>
      <w:r w:rsidR="00CE5EF0" w:rsidRPr="00BF1106">
        <w:rPr>
          <w:sz w:val="22"/>
          <w:szCs w:val="22"/>
        </w:rPr>
        <w:t>the</w:t>
      </w:r>
      <w:r w:rsidR="00E46747" w:rsidRPr="00BF1106">
        <w:rPr>
          <w:sz w:val="22"/>
          <w:szCs w:val="22"/>
        </w:rPr>
        <w:t xml:space="preserve"> </w:t>
      </w:r>
      <w:r w:rsidR="00CD516D" w:rsidRPr="00BF1106">
        <w:rPr>
          <w:sz w:val="22"/>
          <w:szCs w:val="22"/>
        </w:rPr>
        <w:t xml:space="preserve">three </w:t>
      </w:r>
      <w:r w:rsidR="00E46747" w:rsidRPr="00BF1106">
        <w:rPr>
          <w:sz w:val="22"/>
          <w:szCs w:val="22"/>
        </w:rPr>
        <w:t>components of the fluent speech production system</w:t>
      </w:r>
      <w:r w:rsidRPr="00BF1106">
        <w:rPr>
          <w:sz w:val="22"/>
          <w:szCs w:val="22"/>
        </w:rPr>
        <w:t xml:space="preserve"> </w:t>
      </w:r>
      <w:r w:rsidR="00CE5EF0" w:rsidRPr="00BF1106">
        <w:rPr>
          <w:sz w:val="22"/>
          <w:szCs w:val="22"/>
        </w:rPr>
        <w:t>proposed by Mirman et al. (2019)</w:t>
      </w:r>
      <w:r w:rsidR="00CD516D" w:rsidRPr="00BF1106">
        <w:rPr>
          <w:sz w:val="22"/>
          <w:szCs w:val="22"/>
        </w:rPr>
        <w:t>.</w:t>
      </w:r>
      <w:r w:rsidRPr="00BF1106">
        <w:rPr>
          <w:sz w:val="22"/>
          <w:szCs w:val="22"/>
        </w:rPr>
        <w:t xml:space="preserve"> Panel b) shows the cortical sites where stimulation led to syntactic errors, but did not </w:t>
      </w:r>
      <w:r w:rsidR="004749BC" w:rsidRPr="00BF1106">
        <w:rPr>
          <w:sz w:val="22"/>
          <w:szCs w:val="22"/>
        </w:rPr>
        <w:t>compro</w:t>
      </w:r>
      <w:r w:rsidR="003105F5" w:rsidRPr="00BF1106">
        <w:rPr>
          <w:sz w:val="22"/>
          <w:szCs w:val="22"/>
        </w:rPr>
        <w:t>m</w:t>
      </w:r>
      <w:r w:rsidR="004749BC" w:rsidRPr="00BF1106">
        <w:rPr>
          <w:sz w:val="22"/>
          <w:szCs w:val="22"/>
        </w:rPr>
        <w:t xml:space="preserve">ise </w:t>
      </w:r>
      <w:r w:rsidRPr="00BF1106">
        <w:rPr>
          <w:sz w:val="22"/>
          <w:szCs w:val="20"/>
        </w:rPr>
        <w:t>counting, picture naming or repetition</w:t>
      </w:r>
      <w:r w:rsidR="004749BC" w:rsidRPr="00BF1106">
        <w:rPr>
          <w:sz w:val="22"/>
          <w:szCs w:val="20"/>
        </w:rPr>
        <w:t xml:space="preserve">. The </w:t>
      </w:r>
      <w:r w:rsidR="003105F5" w:rsidRPr="00BF1106">
        <w:rPr>
          <w:sz w:val="22"/>
          <w:szCs w:val="20"/>
        </w:rPr>
        <w:t>left</w:t>
      </w:r>
      <w:r w:rsidR="004749BC" w:rsidRPr="00BF1106">
        <w:rPr>
          <w:sz w:val="22"/>
          <w:szCs w:val="20"/>
        </w:rPr>
        <w:t xml:space="preserve"> </w:t>
      </w:r>
      <w:r w:rsidR="003105F5" w:rsidRPr="00BF1106">
        <w:rPr>
          <w:sz w:val="22"/>
          <w:szCs w:val="20"/>
        </w:rPr>
        <w:t>inferior</w:t>
      </w:r>
      <w:r w:rsidR="004749BC" w:rsidRPr="00BF1106">
        <w:rPr>
          <w:sz w:val="22"/>
          <w:szCs w:val="20"/>
        </w:rPr>
        <w:t xml:space="preserve"> frontal gyrus is highlighted in pale blue</w:t>
      </w:r>
      <w:r w:rsidRPr="00BF1106">
        <w:rPr>
          <w:sz w:val="22"/>
          <w:szCs w:val="20"/>
        </w:rPr>
        <w:t xml:space="preserve"> </w:t>
      </w:r>
      <w:r w:rsidRPr="00BF1106">
        <w:rPr>
          <w:sz w:val="22"/>
          <w:szCs w:val="22"/>
        </w:rPr>
        <w:t>(</w:t>
      </w:r>
      <w:r w:rsidR="004749BC" w:rsidRPr="00BF1106">
        <w:rPr>
          <w:sz w:val="22"/>
          <w:szCs w:val="22"/>
        </w:rPr>
        <w:t>adapted</w:t>
      </w:r>
      <w:r w:rsidRPr="00BF1106">
        <w:rPr>
          <w:sz w:val="22"/>
          <w:szCs w:val="22"/>
        </w:rPr>
        <w:t xml:space="preserve"> from </w:t>
      </w:r>
      <w:r w:rsidRPr="00BF1106">
        <w:rPr>
          <w:sz w:val="22"/>
          <w:szCs w:val="20"/>
        </w:rPr>
        <w:t>Chang, Kurteff &amp; Wilson, 2018</w:t>
      </w:r>
      <w:r w:rsidRPr="00BF1106">
        <w:rPr>
          <w:sz w:val="22"/>
          <w:szCs w:val="22"/>
        </w:rPr>
        <w:t>)</w:t>
      </w:r>
      <w:r w:rsidRPr="00BF1106">
        <w:rPr>
          <w:sz w:val="22"/>
          <w:szCs w:val="20"/>
        </w:rPr>
        <w:t>.</w:t>
      </w:r>
    </w:p>
    <w:p w14:paraId="1E7CD21D" w14:textId="2ABD215B" w:rsidR="004749BC" w:rsidRDefault="004749BC" w:rsidP="003105F5">
      <w:pPr>
        <w:spacing w:line="480" w:lineRule="auto"/>
        <w:rPr>
          <w:szCs w:val="22"/>
        </w:rPr>
      </w:pPr>
      <w:r>
        <w:t xml:space="preserve"> </w:t>
      </w:r>
    </w:p>
    <w:p w14:paraId="209F4DEE" w14:textId="7BB01A5B" w:rsidR="00824F7A" w:rsidRDefault="00824F7A" w:rsidP="00824F7A">
      <w:pPr>
        <w:spacing w:line="480" w:lineRule="auto"/>
        <w:ind w:firstLine="720"/>
        <w:rPr>
          <w:lang w:val="en-AU"/>
        </w:rPr>
      </w:pPr>
      <w:r>
        <w:rPr>
          <w:szCs w:val="22"/>
        </w:rPr>
        <w:t xml:space="preserve">Taken together, this evidence suggests that </w:t>
      </w:r>
      <w:r>
        <w:t xml:space="preserve">the left </w:t>
      </w:r>
      <w:r>
        <w:rPr>
          <w:szCs w:val="22"/>
        </w:rPr>
        <w:t xml:space="preserve">lateral prefrontal cortex and/or its underlying white matter play a role in sentence generation specifically. However, it is not yet clear </w:t>
      </w:r>
      <w:r w:rsidR="00FA1B93">
        <w:rPr>
          <w:szCs w:val="22"/>
        </w:rPr>
        <w:t>which specific</w:t>
      </w:r>
      <w:r w:rsidR="009E67EF">
        <w:t xml:space="preserve"> cognitive </w:t>
      </w:r>
      <w:r>
        <w:t xml:space="preserve">processes </w:t>
      </w:r>
      <w:r w:rsidR="0062170B">
        <w:t>are supported by these regions</w:t>
      </w:r>
      <w:r>
        <w:t xml:space="preserve"> and why are they so critical for producing </w:t>
      </w:r>
      <w:r w:rsidRPr="007448C9">
        <w:rPr>
          <w:i/>
          <w:iCs/>
        </w:rPr>
        <w:t>sentences</w:t>
      </w:r>
      <w:r>
        <w:t xml:space="preserve"> in particular</w:t>
      </w:r>
      <w:r w:rsidR="00FA1B93">
        <w:t>.</w:t>
      </w:r>
      <w:r>
        <w:t xml:space="preserve"> </w:t>
      </w:r>
      <w:r w:rsidR="000769A8">
        <w:t>To address this question, we must turn to cognitive models of sentence production. Most such models</w:t>
      </w:r>
      <w:r>
        <w:t xml:space="preserve"> </w:t>
      </w:r>
      <w:r>
        <w:rPr>
          <w:szCs w:val="22"/>
        </w:rPr>
        <w:t xml:space="preserve">identify two broad classes of processes that are necessary for converting a conceptual message into a linear sequence of lexical elements: 1) </w:t>
      </w:r>
      <w:r w:rsidR="000769A8">
        <w:rPr>
          <w:szCs w:val="22"/>
        </w:rPr>
        <w:t>retrieving</w:t>
      </w:r>
      <w:r>
        <w:rPr>
          <w:szCs w:val="22"/>
        </w:rPr>
        <w:t xml:space="preserve"> the appropriate lexical items </w:t>
      </w:r>
      <w:r>
        <w:t>that</w:t>
      </w:r>
      <w:r>
        <w:rPr>
          <w:szCs w:val="22"/>
        </w:rPr>
        <w:t xml:space="preserve"> denote the conceptual elements of the message to be expressed; and 2) </w:t>
      </w:r>
      <w:r w:rsidR="000769A8">
        <w:rPr>
          <w:szCs w:val="22"/>
        </w:rPr>
        <w:t>constructing</w:t>
      </w:r>
      <w:r>
        <w:rPr>
          <w:szCs w:val="22"/>
        </w:rPr>
        <w:t xml:space="preserve"> a structural representation of the sentence, which specifies the position of each lexical item, how it should be inflected and which grammatical function words </w:t>
      </w:r>
      <w:r w:rsidR="0062170B">
        <w:rPr>
          <w:szCs w:val="22"/>
        </w:rPr>
        <w:t xml:space="preserve">it should contain </w:t>
      </w:r>
      <w:r w:rsidRPr="00DB2D8B">
        <w:rPr>
          <w:szCs w:val="22"/>
        </w:rPr>
        <w:t>(</w:t>
      </w:r>
      <w:r w:rsidRPr="00DB2D8B">
        <w:rPr>
          <w:lang w:val="en-AU"/>
        </w:rPr>
        <w:t>Bock, 1986</w:t>
      </w:r>
      <w:r>
        <w:rPr>
          <w:lang w:val="en-AU"/>
        </w:rPr>
        <w:t xml:space="preserve">; </w:t>
      </w:r>
      <w:r w:rsidRPr="00DB2D8B">
        <w:rPr>
          <w:szCs w:val="22"/>
        </w:rPr>
        <w:t>Garrett, 197</w:t>
      </w:r>
      <w:r>
        <w:rPr>
          <w:szCs w:val="22"/>
        </w:rPr>
        <w:t xml:space="preserve">6; Levelt et al., 1999; Dell, 1986; </w:t>
      </w:r>
      <w:r w:rsidRPr="00CC02EA">
        <w:t>Ferreir</w:t>
      </w:r>
      <w:r>
        <w:t>a</w:t>
      </w:r>
      <w:r w:rsidRPr="00CC02EA">
        <w:t xml:space="preserve"> &amp; Slevc, 2007</w:t>
      </w:r>
      <w:r>
        <w:t xml:space="preserve">; </w:t>
      </w:r>
      <w:r w:rsidRPr="00CA56D0">
        <w:rPr>
          <w:lang w:val="en-AU"/>
        </w:rPr>
        <w:t>Pickering. &amp; Branigan, 1999</w:t>
      </w:r>
      <w:r w:rsidRPr="00DB2D8B">
        <w:rPr>
          <w:lang w:val="en-AU"/>
        </w:rPr>
        <w:t>; Stemberger, 1985</w:t>
      </w:r>
      <w:r w:rsidRPr="00DB2D8B">
        <w:rPr>
          <w:szCs w:val="22"/>
        </w:rPr>
        <w:t xml:space="preserve">). </w:t>
      </w:r>
      <w:r>
        <w:rPr>
          <w:szCs w:val="22"/>
        </w:rPr>
        <w:t xml:space="preserve">Early models viewed these two sets of processes as independent, their outputs being brought together at a relatively late stage (e.g., Garrett, 1976). More recent models allow for considerable interplay between the two. For example, some propose that when individual lexical items are retrieved/activated, they in turn activate representations of the syntactic roles they </w:t>
      </w:r>
      <w:r>
        <w:rPr>
          <w:szCs w:val="22"/>
        </w:rPr>
        <w:lastRenderedPageBreak/>
        <w:t>are capable of occupying (</w:t>
      </w:r>
      <w:r w:rsidRPr="007D7DAA">
        <w:rPr>
          <w:lang w:val="en-AU"/>
        </w:rPr>
        <w:t>Bock, 1986, Stemberger, 1985</w:t>
      </w:r>
      <w:r>
        <w:rPr>
          <w:lang w:val="en-AU"/>
        </w:rPr>
        <w:t xml:space="preserve">). </w:t>
      </w:r>
      <w:r>
        <w:rPr>
          <w:szCs w:val="22"/>
        </w:rPr>
        <w:t>Consequently</w:t>
      </w:r>
      <w:r w:rsidR="00FA1EEB">
        <w:rPr>
          <w:szCs w:val="22"/>
        </w:rPr>
        <w:t>,</w:t>
      </w:r>
      <w:r>
        <w:rPr>
          <w:szCs w:val="22"/>
        </w:rPr>
        <w:t xml:space="preserve"> many of the elements of the syntactic “frame” of a sentence are already specified as a result of lexical retrieval, and just need to be integrated into a full structural representation of the entire sentence. Some models assign particular importance to verbs in this respect, </w:t>
      </w:r>
      <w:r w:rsidR="00FA1EEB">
        <w:rPr>
          <w:szCs w:val="22"/>
        </w:rPr>
        <w:t>proposing that verb</w:t>
      </w:r>
      <w:r>
        <w:rPr>
          <w:szCs w:val="22"/>
        </w:rPr>
        <w:t xml:space="preserve"> representations </w:t>
      </w:r>
      <w:r w:rsidR="00A66979">
        <w:rPr>
          <w:szCs w:val="22"/>
        </w:rPr>
        <w:t>include</w:t>
      </w:r>
      <w:r>
        <w:rPr>
          <w:szCs w:val="22"/>
        </w:rPr>
        <w:t xml:space="preserve"> extensive information about the types of syntactic structures the</w:t>
      </w:r>
      <w:r>
        <w:t>y</w:t>
      </w:r>
      <w:r>
        <w:rPr>
          <w:szCs w:val="22"/>
        </w:rPr>
        <w:t xml:space="preserve"> can be embedded into (</w:t>
      </w:r>
      <w:r w:rsidR="00FA1EEB">
        <w:rPr>
          <w:szCs w:val="22"/>
        </w:rPr>
        <w:t>e.g.,</w:t>
      </w:r>
      <w:r>
        <w:rPr>
          <w:szCs w:val="22"/>
        </w:rPr>
        <w:t xml:space="preserve"> the types of obligatory arguments they must take; </w:t>
      </w:r>
      <w:r w:rsidRPr="00D734D9">
        <w:rPr>
          <w:lang w:val="en-AU"/>
        </w:rPr>
        <w:t>Jackendoff, 2002</w:t>
      </w:r>
      <w:r>
        <w:rPr>
          <w:lang w:val="en-AU"/>
        </w:rPr>
        <w:t xml:space="preserve">; </w:t>
      </w:r>
      <w:r w:rsidRPr="00CA56D0">
        <w:rPr>
          <w:lang w:val="en-AU"/>
        </w:rPr>
        <w:t>Pickering &amp; Branigan, 1999</w:t>
      </w:r>
      <w:r>
        <w:rPr>
          <w:lang w:val="en-AU"/>
        </w:rPr>
        <w:t xml:space="preserve">). Consequently, in these models, much of the work of generating a </w:t>
      </w:r>
      <w:r w:rsidR="00543E78">
        <w:rPr>
          <w:lang w:val="en-AU"/>
        </w:rPr>
        <w:t>sentence</w:t>
      </w:r>
      <w:r>
        <w:rPr>
          <w:lang w:val="en-AU"/>
        </w:rPr>
        <w:t xml:space="preserve"> </w:t>
      </w:r>
      <w:r w:rsidR="00543E78">
        <w:rPr>
          <w:lang w:val="en-AU"/>
        </w:rPr>
        <w:t>plan</w:t>
      </w:r>
      <w:r>
        <w:rPr>
          <w:lang w:val="en-AU"/>
        </w:rPr>
        <w:t xml:space="preserve"> takes place during the </w:t>
      </w:r>
      <w:r w:rsidR="00543E78">
        <w:rPr>
          <w:lang w:val="en-AU"/>
        </w:rPr>
        <w:t>retrieval of</w:t>
      </w:r>
      <w:r>
        <w:rPr>
          <w:lang w:val="en-AU"/>
        </w:rPr>
        <w:t xml:space="preserve"> its main verb</w:t>
      </w:r>
      <w:r w:rsidR="00543E78">
        <w:rPr>
          <w:lang w:val="en-AU"/>
        </w:rPr>
        <w:t xml:space="preserve">, and does not rely as heavily on a dedicated structure building </w:t>
      </w:r>
      <w:r w:rsidR="00E91183">
        <w:rPr>
          <w:lang w:val="en-AU"/>
        </w:rPr>
        <w:t>process</w:t>
      </w:r>
      <w:r w:rsidR="00543E78">
        <w:rPr>
          <w:lang w:val="en-AU"/>
        </w:rPr>
        <w:t>.</w:t>
      </w:r>
    </w:p>
    <w:p w14:paraId="27F5F9EE" w14:textId="4EC3532A" w:rsidR="00543E78" w:rsidRDefault="00824F7A" w:rsidP="00824F7A">
      <w:pPr>
        <w:spacing w:line="480" w:lineRule="auto"/>
        <w:ind w:firstLine="720"/>
        <w:rPr>
          <w:szCs w:val="22"/>
        </w:rPr>
      </w:pPr>
      <w:r>
        <w:rPr>
          <w:lang w:val="en-AU"/>
        </w:rPr>
        <w:t xml:space="preserve">Several recent computational models go one step further: they propose that </w:t>
      </w:r>
      <w:r w:rsidR="00675611">
        <w:rPr>
          <w:lang w:val="en-AU"/>
        </w:rPr>
        <w:t>generating a syntactic plan for a sentence</w:t>
      </w:r>
      <w:r>
        <w:rPr>
          <w:lang w:val="en-AU"/>
        </w:rPr>
        <w:t xml:space="preserve"> may be a relatively low-level process that is shaped primarily by learned </w:t>
      </w:r>
      <w:r w:rsidR="000769A8">
        <w:rPr>
          <w:lang w:val="en-AU"/>
        </w:rPr>
        <w:t>sequential dependencies</w:t>
      </w:r>
      <w:r>
        <w:rPr>
          <w:lang w:val="en-AU"/>
        </w:rPr>
        <w:t xml:space="preserve"> between different classes of words </w:t>
      </w:r>
      <w:r w:rsidR="0062170B">
        <w:rPr>
          <w:lang w:val="en-AU"/>
        </w:rPr>
        <w:t>and other</w:t>
      </w:r>
      <w:r>
        <w:rPr>
          <w:lang w:val="en-AU"/>
        </w:rPr>
        <w:t xml:space="preserve"> constituents (</w:t>
      </w:r>
      <w:r w:rsidRPr="007D7DAA">
        <w:rPr>
          <w:lang w:val="en-AU"/>
        </w:rPr>
        <w:t>Chang, 2002; Chang, Dell &amp; Bock, 2006</w:t>
      </w:r>
      <w:r>
        <w:rPr>
          <w:lang w:val="en-AU"/>
        </w:rPr>
        <w:t xml:space="preserve">; </w:t>
      </w:r>
      <w:r>
        <w:rPr>
          <w:szCs w:val="22"/>
        </w:rPr>
        <w:t>Dell &amp; Chang, 2014</w:t>
      </w:r>
      <w:r w:rsidRPr="007D7DAA">
        <w:rPr>
          <w:lang w:val="en-AU"/>
        </w:rPr>
        <w:t>)</w:t>
      </w:r>
      <w:r>
        <w:rPr>
          <w:lang w:val="en-AU"/>
        </w:rPr>
        <w:t>. Chang</w:t>
      </w:r>
      <w:r w:rsidR="00804EFE">
        <w:rPr>
          <w:lang w:val="en-AU"/>
        </w:rPr>
        <w:t xml:space="preserve"> et al. </w:t>
      </w:r>
      <w:r>
        <w:rPr>
          <w:lang w:val="en-AU"/>
        </w:rPr>
        <w:t xml:space="preserve">(2006) trained a simple recurrent network PDP model to generate structurally sound sentences based on learned dependencies between different </w:t>
      </w:r>
      <w:r w:rsidR="0062170B">
        <w:rPr>
          <w:lang w:val="en-AU"/>
        </w:rPr>
        <w:t>word classes</w:t>
      </w:r>
      <w:r w:rsidR="00F25640">
        <w:rPr>
          <w:lang w:val="en-AU"/>
        </w:rPr>
        <w:t>. The model</w:t>
      </w:r>
      <w:r>
        <w:rPr>
          <w:lang w:val="en-AU"/>
        </w:rPr>
        <w:t xml:space="preserve"> was sensitive to both immediate and more distal dependencies. </w:t>
      </w:r>
      <w:r w:rsidR="0062170B">
        <w:rPr>
          <w:lang w:val="en-AU"/>
        </w:rPr>
        <w:t>I</w:t>
      </w:r>
      <w:r w:rsidR="00C00155">
        <w:rPr>
          <w:lang w:val="en-AU"/>
        </w:rPr>
        <w:t>n this</w:t>
      </w:r>
      <w:r w:rsidR="00677753">
        <w:rPr>
          <w:lang w:val="en-AU"/>
        </w:rPr>
        <w:t xml:space="preserve"> </w:t>
      </w:r>
      <w:r w:rsidR="00C00155">
        <w:rPr>
          <w:lang w:val="en-AU"/>
        </w:rPr>
        <w:t xml:space="preserve">model, </w:t>
      </w:r>
      <w:r w:rsidR="00677753">
        <w:rPr>
          <w:lang w:val="en-AU"/>
        </w:rPr>
        <w:t xml:space="preserve">the </w:t>
      </w:r>
      <w:r>
        <w:rPr>
          <w:lang w:val="en-AU"/>
        </w:rPr>
        <w:t xml:space="preserve">selection of </w:t>
      </w:r>
      <w:r w:rsidR="0062170B">
        <w:rPr>
          <w:lang w:val="en-AU"/>
        </w:rPr>
        <w:t>any given content</w:t>
      </w:r>
      <w:r w:rsidR="00677753">
        <w:rPr>
          <w:lang w:val="en-AU"/>
        </w:rPr>
        <w:t xml:space="preserve"> word </w:t>
      </w:r>
      <w:r w:rsidR="004A7C71">
        <w:rPr>
          <w:lang w:val="en-AU"/>
        </w:rPr>
        <w:t>was</w:t>
      </w:r>
      <w:r w:rsidR="00C00155">
        <w:rPr>
          <w:lang w:val="en-AU"/>
        </w:rPr>
        <w:t xml:space="preserve"> </w:t>
      </w:r>
      <w:r w:rsidR="006134DA">
        <w:rPr>
          <w:lang w:val="en-AU"/>
        </w:rPr>
        <w:t>constrained</w:t>
      </w:r>
      <w:r w:rsidRPr="001F06F4">
        <w:rPr>
          <w:lang w:val="en-AU"/>
        </w:rPr>
        <w:t xml:space="preserve"> </w:t>
      </w:r>
      <w:r w:rsidR="00677753">
        <w:rPr>
          <w:lang w:val="en-AU"/>
        </w:rPr>
        <w:t xml:space="preserve">not only </w:t>
      </w:r>
      <w:r w:rsidR="00C00155">
        <w:rPr>
          <w:lang w:val="en-AU"/>
        </w:rPr>
        <w:t>by</w:t>
      </w:r>
      <w:r w:rsidRPr="001F06F4">
        <w:rPr>
          <w:lang w:val="en-AU"/>
        </w:rPr>
        <w:t xml:space="preserve"> </w:t>
      </w:r>
      <w:r w:rsidR="00C00155">
        <w:rPr>
          <w:lang w:val="en-AU"/>
        </w:rPr>
        <w:t>the</w:t>
      </w:r>
      <w:r w:rsidR="00677753" w:rsidRPr="001F06F4">
        <w:rPr>
          <w:lang w:val="en-AU"/>
        </w:rPr>
        <w:t xml:space="preserve"> </w:t>
      </w:r>
      <w:r w:rsidR="00FA1EEB">
        <w:rPr>
          <w:lang w:val="en-AU"/>
        </w:rPr>
        <w:t>sequenc</w:t>
      </w:r>
      <w:r w:rsidR="004A7C71">
        <w:rPr>
          <w:lang w:val="en-AU"/>
        </w:rPr>
        <w:t>ing</w:t>
      </w:r>
      <w:r w:rsidR="00FA1EEB">
        <w:rPr>
          <w:lang w:val="en-AU"/>
        </w:rPr>
        <w:t xml:space="preserve"> rules</w:t>
      </w:r>
      <w:r w:rsidR="00677753">
        <w:rPr>
          <w:lang w:val="en-AU"/>
        </w:rPr>
        <w:t xml:space="preserve">, but also </w:t>
      </w:r>
      <w:r w:rsidR="00C00155">
        <w:rPr>
          <w:lang w:val="en-AU"/>
        </w:rPr>
        <w:t xml:space="preserve">by </w:t>
      </w:r>
      <w:r w:rsidR="00FA1EEB">
        <w:rPr>
          <w:lang w:val="en-AU"/>
        </w:rPr>
        <w:t>the message</w:t>
      </w:r>
      <w:r>
        <w:rPr>
          <w:lang w:val="en-AU"/>
        </w:rPr>
        <w:t xml:space="preserve"> </w:t>
      </w:r>
      <w:r w:rsidR="00677753">
        <w:rPr>
          <w:lang w:val="en-AU"/>
        </w:rPr>
        <w:t>element</w:t>
      </w:r>
      <w:r w:rsidR="00C00155">
        <w:rPr>
          <w:lang w:val="en-AU"/>
        </w:rPr>
        <w:t>(s)</w:t>
      </w:r>
      <w:r w:rsidR="00677753">
        <w:rPr>
          <w:lang w:val="en-AU"/>
        </w:rPr>
        <w:t xml:space="preserve"> </w:t>
      </w:r>
      <w:r w:rsidR="00FA1EEB">
        <w:rPr>
          <w:lang w:val="en-AU"/>
        </w:rPr>
        <w:t>that</w:t>
      </w:r>
      <w:r>
        <w:rPr>
          <w:lang w:val="en-AU"/>
        </w:rPr>
        <w:t xml:space="preserve"> </w:t>
      </w:r>
      <w:r w:rsidR="00C00155">
        <w:rPr>
          <w:lang w:val="en-AU"/>
        </w:rPr>
        <w:t>are</w:t>
      </w:r>
      <w:r>
        <w:rPr>
          <w:lang w:val="en-AU"/>
        </w:rPr>
        <w:t xml:space="preserve"> most highly activated at th</w:t>
      </w:r>
      <w:r w:rsidR="00677753">
        <w:rPr>
          <w:lang w:val="en-AU"/>
        </w:rPr>
        <w:t>at</w:t>
      </w:r>
      <w:r>
        <w:rPr>
          <w:lang w:val="en-AU"/>
        </w:rPr>
        <w:t xml:space="preserve"> </w:t>
      </w:r>
      <w:r w:rsidRPr="001F06F4">
        <w:rPr>
          <w:lang w:val="en-AU"/>
        </w:rPr>
        <w:t>time.</w:t>
      </w:r>
      <w:r>
        <w:rPr>
          <w:lang w:val="en-AU"/>
        </w:rPr>
        <w:t xml:space="preserve"> </w:t>
      </w:r>
      <w:r w:rsidR="00FA1EEB">
        <w:rPr>
          <w:lang w:val="en-AU"/>
        </w:rPr>
        <w:t>Message element</w:t>
      </w:r>
      <w:r w:rsidR="004A7C71">
        <w:rPr>
          <w:lang w:val="en-AU"/>
        </w:rPr>
        <w:t>s</w:t>
      </w:r>
      <w:r w:rsidR="00FA1EEB">
        <w:rPr>
          <w:lang w:val="en-AU"/>
        </w:rPr>
        <w:t xml:space="preserve"> consist of temporary pairings between </w:t>
      </w:r>
      <w:r>
        <w:rPr>
          <w:szCs w:val="22"/>
        </w:rPr>
        <w:t xml:space="preserve">the </w:t>
      </w:r>
      <w:r w:rsidRPr="00C925D0">
        <w:rPr>
          <w:szCs w:val="22"/>
        </w:rPr>
        <w:t>key concept</w:t>
      </w:r>
      <w:r w:rsidR="00677753">
        <w:rPr>
          <w:szCs w:val="22"/>
        </w:rPr>
        <w:t xml:space="preserve">ual </w:t>
      </w:r>
      <w:r w:rsidR="00C00155">
        <w:rPr>
          <w:szCs w:val="22"/>
        </w:rPr>
        <w:t>elements</w:t>
      </w:r>
      <w:r w:rsidRPr="00C925D0">
        <w:rPr>
          <w:szCs w:val="22"/>
        </w:rPr>
        <w:t xml:space="preserve"> </w:t>
      </w:r>
      <w:r w:rsidR="00FA1EEB">
        <w:rPr>
          <w:szCs w:val="22"/>
        </w:rPr>
        <w:t xml:space="preserve">that make up the intended message </w:t>
      </w:r>
      <w:r w:rsidRPr="00C925D0">
        <w:rPr>
          <w:szCs w:val="22"/>
        </w:rPr>
        <w:t xml:space="preserve">and their </w:t>
      </w:r>
      <w:r w:rsidR="00677753">
        <w:rPr>
          <w:szCs w:val="22"/>
        </w:rPr>
        <w:t xml:space="preserve">corresponding </w:t>
      </w:r>
      <w:r>
        <w:rPr>
          <w:szCs w:val="22"/>
        </w:rPr>
        <w:t xml:space="preserve">thematic </w:t>
      </w:r>
      <w:r w:rsidR="00DE36EF" w:rsidRPr="00C925D0">
        <w:rPr>
          <w:szCs w:val="22"/>
        </w:rPr>
        <w:t>roles</w:t>
      </w:r>
      <w:r w:rsidR="00DE36EF">
        <w:rPr>
          <w:szCs w:val="22"/>
        </w:rPr>
        <w:t xml:space="preserve"> (</w:t>
      </w:r>
      <w:r w:rsidRPr="00C925D0">
        <w:rPr>
          <w:szCs w:val="22"/>
        </w:rPr>
        <w:t xml:space="preserve">e.g., </w:t>
      </w:r>
      <w:r w:rsidRPr="00FA1EEB">
        <w:rPr>
          <w:i/>
          <w:iCs/>
          <w:szCs w:val="22"/>
        </w:rPr>
        <w:t>cat-agent, chase-action, mouse-patient</w:t>
      </w:r>
      <w:r>
        <w:rPr>
          <w:szCs w:val="22"/>
        </w:rPr>
        <w:t xml:space="preserve">). </w:t>
      </w:r>
      <w:r w:rsidR="00677753">
        <w:rPr>
          <w:lang w:val="en-AU"/>
        </w:rPr>
        <w:t>Within this type of framework, the most computationally demanding aspect of sentence planning is not generating a syntactic plan, but rather creating and maintaining a robust message-level representation</w:t>
      </w:r>
      <w:r w:rsidR="00C00155">
        <w:rPr>
          <w:lang w:val="en-AU"/>
        </w:rPr>
        <w:t xml:space="preserve"> to “drive” the sentence planning process</w:t>
      </w:r>
      <w:r w:rsidR="00677753">
        <w:rPr>
          <w:lang w:val="en-AU"/>
        </w:rPr>
        <w:t xml:space="preserve">. </w:t>
      </w:r>
      <w:r w:rsidRPr="000946F3">
        <w:rPr>
          <w:szCs w:val="22"/>
        </w:rPr>
        <w:t xml:space="preserve"> </w:t>
      </w:r>
    </w:p>
    <w:p w14:paraId="1A7D6DA4" w14:textId="6B2802A5" w:rsidR="00824F7A" w:rsidRDefault="00543E78" w:rsidP="00824F7A">
      <w:pPr>
        <w:spacing w:line="480" w:lineRule="auto"/>
        <w:ind w:firstLine="720"/>
        <w:rPr>
          <w:lang w:val="en-AU"/>
        </w:rPr>
      </w:pPr>
      <w:r>
        <w:rPr>
          <w:szCs w:val="22"/>
        </w:rPr>
        <w:t>Some of</w:t>
      </w:r>
      <w:r w:rsidR="00824F7A">
        <w:rPr>
          <w:szCs w:val="22"/>
        </w:rPr>
        <w:t xml:space="preserve"> the</w:t>
      </w:r>
      <w:r w:rsidR="00824F7A">
        <w:t xml:space="preserve">se </w:t>
      </w:r>
      <w:r>
        <w:rPr>
          <w:szCs w:val="22"/>
        </w:rPr>
        <w:t xml:space="preserve">cognitive </w:t>
      </w:r>
      <w:r w:rsidR="00824F7A">
        <w:rPr>
          <w:szCs w:val="22"/>
        </w:rPr>
        <w:t>perspectives</w:t>
      </w:r>
      <w:r>
        <w:rPr>
          <w:szCs w:val="22"/>
        </w:rPr>
        <w:t xml:space="preserve"> call into question the idea that there may be </w:t>
      </w:r>
      <w:r w:rsidR="00824F7A">
        <w:rPr>
          <w:szCs w:val="22"/>
        </w:rPr>
        <w:t xml:space="preserve">a neuroanatomically distinct “sentence structure building” component. </w:t>
      </w:r>
      <w:r w:rsidR="00BB0C65">
        <w:rPr>
          <w:szCs w:val="22"/>
        </w:rPr>
        <w:t>Instead</w:t>
      </w:r>
      <w:r w:rsidR="00824F7A">
        <w:rPr>
          <w:szCs w:val="22"/>
        </w:rPr>
        <w:t xml:space="preserve">, they raise the possibility that </w:t>
      </w:r>
      <w:r w:rsidR="00824F7A">
        <w:t>brain</w:t>
      </w:r>
      <w:r w:rsidR="00824F7A">
        <w:rPr>
          <w:szCs w:val="22"/>
        </w:rPr>
        <w:t xml:space="preserve"> regions</w:t>
      </w:r>
      <w:r w:rsidR="00824F7A">
        <w:t xml:space="preserve"> </w:t>
      </w:r>
      <w:r>
        <w:t xml:space="preserve">previously </w:t>
      </w:r>
      <w:r w:rsidR="00824F7A">
        <w:t xml:space="preserve">associated with sentence planning may </w:t>
      </w:r>
      <w:r w:rsidR="00824F7A">
        <w:rPr>
          <w:szCs w:val="22"/>
        </w:rPr>
        <w:t xml:space="preserve">perform an entirely different function. One possibility is that damage to </w:t>
      </w:r>
      <w:r w:rsidR="00824F7A">
        <w:t>left lateral prefrontal</w:t>
      </w:r>
      <w:r w:rsidR="00824F7A">
        <w:rPr>
          <w:szCs w:val="22"/>
        </w:rPr>
        <w:t xml:space="preserve"> </w:t>
      </w:r>
      <w:r w:rsidR="00824F7A">
        <w:t>cortex</w:t>
      </w:r>
      <w:r w:rsidR="00824F7A">
        <w:rPr>
          <w:szCs w:val="22"/>
        </w:rPr>
        <w:t xml:space="preserve"> compromises the ability to generate a robust representation of the conceptual proposition to be expressed. This idea </w:t>
      </w:r>
      <w:r w:rsidR="00824F7A">
        <w:rPr>
          <w:szCs w:val="22"/>
        </w:rPr>
        <w:lastRenderedPageBreak/>
        <w:t>would be consistent with evidence suggesting</w:t>
      </w:r>
      <w:r w:rsidR="00824F7A">
        <w:rPr>
          <w:lang w:val="en-AU"/>
        </w:rPr>
        <w:t xml:space="preserve"> that the LIFG plays a crucial role in the formation of a message intention (e.g., </w:t>
      </w:r>
      <w:r w:rsidR="00824F7A" w:rsidRPr="00065B75">
        <w:t>Robinson</w:t>
      </w:r>
      <w:r w:rsidR="00824F7A">
        <w:t xml:space="preserve"> et al., </w:t>
      </w:r>
      <w:r w:rsidR="005950FB">
        <w:t xml:space="preserve">2005; </w:t>
      </w:r>
      <w:r w:rsidR="00824F7A" w:rsidRPr="00065B75">
        <w:t>2010</w:t>
      </w:r>
      <w:r w:rsidR="00824F7A" w:rsidRPr="00096B89">
        <w:t>)</w:t>
      </w:r>
      <w:r w:rsidR="00824F7A">
        <w:t>.</w:t>
      </w:r>
    </w:p>
    <w:p w14:paraId="58E3FFAC" w14:textId="578B9F6D" w:rsidR="00824F7A" w:rsidRPr="000A0312" w:rsidRDefault="003913DA" w:rsidP="00824F7A">
      <w:pPr>
        <w:spacing w:line="480" w:lineRule="auto"/>
        <w:ind w:firstLine="720"/>
      </w:pPr>
      <w:r>
        <w:rPr>
          <w:lang w:val="en-AU"/>
        </w:rPr>
        <w:t xml:space="preserve">Another possibility is that </w:t>
      </w:r>
      <w:r w:rsidR="00DB19FA">
        <w:rPr>
          <w:lang w:val="en-AU"/>
        </w:rPr>
        <w:t xml:space="preserve">lateral </w:t>
      </w:r>
      <w:r w:rsidR="008D1D79">
        <w:rPr>
          <w:lang w:val="en-AU"/>
        </w:rPr>
        <w:t>prefrontal</w:t>
      </w:r>
      <w:r w:rsidR="00DB19FA">
        <w:rPr>
          <w:lang w:val="en-AU"/>
        </w:rPr>
        <w:t xml:space="preserve"> </w:t>
      </w:r>
      <w:r>
        <w:rPr>
          <w:lang w:val="en-AU"/>
        </w:rPr>
        <w:t xml:space="preserve">regions support more general processes that are </w:t>
      </w:r>
      <w:r w:rsidR="008D1D79">
        <w:rPr>
          <w:lang w:val="en-AU"/>
        </w:rPr>
        <w:t>crucial</w:t>
      </w:r>
      <w:r w:rsidR="00DB19FA">
        <w:rPr>
          <w:lang w:val="en-AU"/>
        </w:rPr>
        <w:t xml:space="preserve"> for </w:t>
      </w:r>
      <w:r w:rsidR="00824F7A">
        <w:rPr>
          <w:lang w:val="en-AU"/>
        </w:rPr>
        <w:t xml:space="preserve">fluent, well-formed sentence production (for </w:t>
      </w:r>
      <w:r w:rsidR="00FA1EEB">
        <w:rPr>
          <w:lang w:val="en-AU"/>
        </w:rPr>
        <w:t>further discussion</w:t>
      </w:r>
      <w:r w:rsidR="00824F7A">
        <w:rPr>
          <w:lang w:val="en-AU"/>
        </w:rPr>
        <w:t xml:space="preserve">, see </w:t>
      </w:r>
      <w:r w:rsidR="00824F7A" w:rsidRPr="00D5177B">
        <w:rPr>
          <w:lang w:val="en-AU"/>
        </w:rPr>
        <w:t>Nozari &amp; Faroqi-Shah, 2017).</w:t>
      </w:r>
      <w:r w:rsidR="00824F7A">
        <w:rPr>
          <w:lang w:val="en-AU"/>
        </w:rPr>
        <w:t xml:space="preserve"> </w:t>
      </w:r>
      <w:r w:rsidR="00DB19FA">
        <w:rPr>
          <w:lang w:val="en-AU"/>
        </w:rPr>
        <w:t xml:space="preserve">For example, they may be </w:t>
      </w:r>
      <w:r w:rsidR="00FA1EEB">
        <w:rPr>
          <w:lang w:val="en-AU"/>
        </w:rPr>
        <w:t>involved in</w:t>
      </w:r>
      <w:r w:rsidR="00DB19FA">
        <w:rPr>
          <w:lang w:val="en-AU"/>
        </w:rPr>
        <w:t xml:space="preserve"> </w:t>
      </w:r>
      <w:r w:rsidR="008D1D79">
        <w:rPr>
          <w:lang w:val="en-AU"/>
        </w:rPr>
        <w:t>maintaining</w:t>
      </w:r>
      <w:r w:rsidR="00DB19FA">
        <w:rPr>
          <w:lang w:val="en-AU"/>
        </w:rPr>
        <w:t xml:space="preserve"> </w:t>
      </w:r>
      <w:r w:rsidR="00824F7A">
        <w:rPr>
          <w:szCs w:val="22"/>
        </w:rPr>
        <w:t xml:space="preserve">multiple </w:t>
      </w:r>
      <w:r w:rsidR="00824F7A" w:rsidRPr="000946F3">
        <w:rPr>
          <w:szCs w:val="22"/>
        </w:rPr>
        <w:t xml:space="preserve">lexical elements </w:t>
      </w:r>
      <w:r w:rsidR="00824F7A">
        <w:rPr>
          <w:szCs w:val="22"/>
        </w:rPr>
        <w:t xml:space="preserve">in an activated state, </w:t>
      </w:r>
      <w:r w:rsidR="00824F7A" w:rsidRPr="000946F3">
        <w:rPr>
          <w:szCs w:val="22"/>
        </w:rPr>
        <w:t xml:space="preserve">until </w:t>
      </w:r>
      <w:r w:rsidR="008D1D79" w:rsidRPr="000946F3">
        <w:rPr>
          <w:szCs w:val="22"/>
        </w:rPr>
        <w:t>tho</w:t>
      </w:r>
      <w:r w:rsidR="008D1D79">
        <w:rPr>
          <w:szCs w:val="22"/>
        </w:rPr>
        <w:t>se</w:t>
      </w:r>
      <w:r w:rsidR="00DB19FA">
        <w:rPr>
          <w:szCs w:val="22"/>
        </w:rPr>
        <w:t xml:space="preserve"> elements</w:t>
      </w:r>
      <w:r w:rsidR="00824F7A" w:rsidRPr="000946F3">
        <w:rPr>
          <w:szCs w:val="22"/>
        </w:rPr>
        <w:t xml:space="preserve"> </w:t>
      </w:r>
      <w:r w:rsidR="00824F7A">
        <w:rPr>
          <w:szCs w:val="22"/>
        </w:rPr>
        <w:t>are ready to</w:t>
      </w:r>
      <w:r w:rsidR="00824F7A" w:rsidRPr="000946F3">
        <w:rPr>
          <w:szCs w:val="22"/>
        </w:rPr>
        <w:t xml:space="preserve"> be integrated into larger</w:t>
      </w:r>
      <w:r w:rsidR="00FA1EEB">
        <w:rPr>
          <w:szCs w:val="22"/>
        </w:rPr>
        <w:t>,</w:t>
      </w:r>
      <w:r w:rsidR="00824F7A">
        <w:rPr>
          <w:szCs w:val="22"/>
        </w:rPr>
        <w:t xml:space="preserve"> </w:t>
      </w:r>
      <w:r w:rsidR="00FA1EEB">
        <w:rPr>
          <w:szCs w:val="22"/>
        </w:rPr>
        <w:t xml:space="preserve">phrasal units </w:t>
      </w:r>
      <w:r w:rsidR="00824F7A" w:rsidRPr="000946F3">
        <w:rPr>
          <w:szCs w:val="22"/>
        </w:rPr>
        <w:t>(Freedman</w:t>
      </w:r>
      <w:r w:rsidR="00091DAC">
        <w:rPr>
          <w:szCs w:val="22"/>
        </w:rPr>
        <w:t>, Martin &amp; Biegler</w:t>
      </w:r>
      <w:r w:rsidR="00824F7A" w:rsidRPr="000946F3">
        <w:rPr>
          <w:szCs w:val="22"/>
        </w:rPr>
        <w:t>, 2004; Martin, Lesch, &amp; Bartha, 1999; Martin, Miller, &amp; Vu, 2004; Martin &amp; Romani, 1994; Martin, Shelton, &amp; Yaffee, 1994).</w:t>
      </w:r>
      <w:r w:rsidR="00394A52">
        <w:rPr>
          <w:lang w:val="en-AU"/>
        </w:rPr>
        <w:t xml:space="preserve"> A</w:t>
      </w:r>
      <w:r w:rsidR="00D81C56">
        <w:rPr>
          <w:lang w:val="en-AU"/>
        </w:rPr>
        <w:t xml:space="preserve">lternatively, they may be </w:t>
      </w:r>
      <w:r w:rsidR="008D1D79">
        <w:rPr>
          <w:lang w:val="en-AU"/>
        </w:rPr>
        <w:t>crucial</w:t>
      </w:r>
      <w:r w:rsidR="00D81C56">
        <w:rPr>
          <w:lang w:val="en-AU"/>
        </w:rPr>
        <w:t xml:space="preserve"> for</w:t>
      </w:r>
      <w:r w:rsidR="00824F7A">
        <w:rPr>
          <w:lang w:val="en-AU"/>
        </w:rPr>
        <w:t xml:space="preserve"> managing competition between concurrently activated</w:t>
      </w:r>
      <w:r w:rsidR="008D1D79">
        <w:rPr>
          <w:lang w:val="en-AU"/>
        </w:rPr>
        <w:t xml:space="preserve"> </w:t>
      </w:r>
      <w:r w:rsidR="00824F7A">
        <w:rPr>
          <w:lang w:val="en-AU"/>
        </w:rPr>
        <w:t>sentence elements, so that the correct element can be produced at the correct time</w:t>
      </w:r>
      <w:r w:rsidR="00824F7A" w:rsidRPr="00532034">
        <w:rPr>
          <w:lang w:val="en-AU"/>
        </w:rPr>
        <w:t xml:space="preserve"> (Schnur, 2017; Scott &amp; Wilshire, 2012; Speer &amp; Wilshire, 2013; </w:t>
      </w:r>
      <w:r w:rsidR="00824F7A" w:rsidRPr="008600BE">
        <w:rPr>
          <w:lang w:val="en-AU"/>
        </w:rPr>
        <w:t>Thothathiri, Schwartz &amp; Thompson-Schill, 201</w:t>
      </w:r>
      <w:r w:rsidR="007F0FD5" w:rsidRPr="008600BE">
        <w:rPr>
          <w:lang w:val="en-AU"/>
        </w:rPr>
        <w:t>0</w:t>
      </w:r>
      <w:r w:rsidR="00824F7A" w:rsidRPr="008600BE">
        <w:rPr>
          <w:lang w:val="en-AU"/>
        </w:rPr>
        <w:t xml:space="preserve">; </w:t>
      </w:r>
      <w:r w:rsidR="005231FE" w:rsidRPr="008600BE">
        <w:t>Thothathiri, Gagliardi &amp; Schwartz, 2012;</w:t>
      </w:r>
      <w:r w:rsidR="005231FE">
        <w:t xml:space="preserve"> </w:t>
      </w:r>
      <w:r w:rsidR="00824F7A" w:rsidRPr="00532034">
        <w:rPr>
          <w:lang w:val="en-AU"/>
        </w:rPr>
        <w:t>Wilshire &amp; McCarthy, 2002).</w:t>
      </w:r>
      <w:r w:rsidR="00824F7A">
        <w:rPr>
          <w:lang w:val="en-AU"/>
        </w:rPr>
        <w:t xml:space="preserve"> </w:t>
      </w:r>
      <w:r w:rsidR="00675611" w:rsidRPr="00675611">
        <w:rPr>
          <w:lang w:val="en-AU"/>
        </w:rPr>
        <w:t>T</w:t>
      </w:r>
      <w:r w:rsidR="00824F7A" w:rsidRPr="00675611">
        <w:rPr>
          <w:lang w:val="en-AU"/>
        </w:rPr>
        <w:t>here is</w:t>
      </w:r>
      <w:r w:rsidR="00824F7A">
        <w:rPr>
          <w:lang w:val="en-AU"/>
        </w:rPr>
        <w:t xml:space="preserve"> </w:t>
      </w:r>
      <w:r w:rsidR="00D81C56">
        <w:rPr>
          <w:lang w:val="en-AU"/>
        </w:rPr>
        <w:t>som</w:t>
      </w:r>
      <w:r w:rsidR="00E03632">
        <w:rPr>
          <w:lang w:val="en-AU"/>
        </w:rPr>
        <w:t>e</w:t>
      </w:r>
      <w:r w:rsidR="00D81C56">
        <w:rPr>
          <w:lang w:val="en-AU"/>
        </w:rPr>
        <w:t xml:space="preserve"> support for this second suggestion. D</w:t>
      </w:r>
      <w:r w:rsidR="00824F7A">
        <w:rPr>
          <w:lang w:val="en-AU"/>
        </w:rPr>
        <w:t xml:space="preserve">amage to anterior language regions, most notably the LIFG, </w:t>
      </w:r>
      <w:r w:rsidR="00D81C56">
        <w:rPr>
          <w:lang w:val="en-AU"/>
        </w:rPr>
        <w:t>has been associated with</w:t>
      </w:r>
      <w:r w:rsidR="00824F7A">
        <w:rPr>
          <w:lang w:val="en-AU"/>
        </w:rPr>
        <w:t xml:space="preserve"> marked difficulties selecting a lexical target from amongst strongly activated competitor</w:t>
      </w:r>
      <w:r w:rsidR="00824F7A" w:rsidRPr="00C46368">
        <w:rPr>
          <w:lang w:val="en-AU"/>
        </w:rPr>
        <w:t>s</w:t>
      </w:r>
      <w:r w:rsidR="00824F7A">
        <w:rPr>
          <w:lang w:val="en-AU"/>
        </w:rPr>
        <w:t>. F</w:t>
      </w:r>
      <w:r w:rsidR="00824F7A">
        <w:t xml:space="preserve">or example, </w:t>
      </w:r>
      <w:r w:rsidR="00E03632">
        <w:t>individuals with damage here</w:t>
      </w:r>
      <w:r w:rsidR="00824F7A">
        <w:t xml:space="preserve"> </w:t>
      </w:r>
      <w:r w:rsidR="00E03632">
        <w:t xml:space="preserve">may respond abnormally slowly </w:t>
      </w:r>
      <w:r w:rsidR="00824F7A">
        <w:t xml:space="preserve">on the Stroop colour-word task (Gläscher et al., 2012; Tsuchida &amp; Fellows, 2013). </w:t>
      </w:r>
      <w:r w:rsidR="0048577E">
        <w:t xml:space="preserve">They </w:t>
      </w:r>
      <w:r w:rsidR="005D6C0A">
        <w:t>ma</w:t>
      </w:r>
      <w:r w:rsidR="0048577E">
        <w:t>y also exhibit</w:t>
      </w:r>
      <w:r w:rsidR="00824F7A">
        <w:t xml:space="preserve"> exaggerated semantic interference effects in picture naming tasks where the pictures are repeatedly sampled from a small set (</w:t>
      </w:r>
      <w:r w:rsidR="00482051">
        <w:t>“cyclic” naming</w:t>
      </w:r>
      <w:r w:rsidR="00D06469">
        <w:t xml:space="preserve"> tasks</w:t>
      </w:r>
      <w:r w:rsidR="00482051">
        <w:t xml:space="preserve">: </w:t>
      </w:r>
      <w:r w:rsidR="00EC7893" w:rsidRPr="00EC7893">
        <w:t>Anders</w:t>
      </w:r>
      <w:r w:rsidR="00EC7893">
        <w:t xml:space="preserve"> et al., </w:t>
      </w:r>
      <w:r w:rsidR="00EC7893" w:rsidRPr="00EC7893">
        <w:t>2017</w:t>
      </w:r>
      <w:r w:rsidR="00EC7893">
        <w:t xml:space="preserve">; </w:t>
      </w:r>
      <w:r w:rsidR="00824F7A" w:rsidRPr="00006A9B">
        <w:t>Riès</w:t>
      </w:r>
      <w:r w:rsidR="00824F7A">
        <w:t xml:space="preserve"> </w:t>
      </w:r>
      <w:r w:rsidR="00824F7A" w:rsidRPr="00C46368">
        <w:t>et al., 2014</w:t>
      </w:r>
      <w:r w:rsidR="00471779">
        <w:t>, 2015</w:t>
      </w:r>
      <w:r w:rsidR="00824F7A" w:rsidRPr="00C46368">
        <w:t>; Schnur et al., 2005</w:t>
      </w:r>
      <w:r w:rsidR="00824F7A">
        <w:t xml:space="preserve">, 2009). </w:t>
      </w:r>
      <w:r w:rsidR="00124E96">
        <w:t>One study observed a steady decline in picture naming accu</w:t>
      </w:r>
      <w:r w:rsidR="00A34652">
        <w:t>ra</w:t>
      </w:r>
      <w:r w:rsidR="00124E96">
        <w:t>cy</w:t>
      </w:r>
      <w:r w:rsidR="00416ADD">
        <w:t xml:space="preserve"> </w:t>
      </w:r>
      <w:r w:rsidR="00824F7A">
        <w:t xml:space="preserve">with each successive cycle through the </w:t>
      </w:r>
      <w:r w:rsidR="00C0551B">
        <w:t>set</w:t>
      </w:r>
      <w:r w:rsidR="00124E96">
        <w:t xml:space="preserve">, a finding that was not observed </w:t>
      </w:r>
      <w:r w:rsidR="003A1251">
        <w:t>on</w:t>
      </w:r>
      <w:r w:rsidR="00124E96">
        <w:t xml:space="preserve"> sets of unrelated pictures</w:t>
      </w:r>
      <w:r w:rsidR="00824F7A">
        <w:t xml:space="preserve"> (</w:t>
      </w:r>
      <w:r w:rsidR="00824F7A" w:rsidRPr="00C46368">
        <w:t>Schnur et al., 2005</w:t>
      </w:r>
      <w:r w:rsidR="00824F7A">
        <w:t>, 2009</w:t>
      </w:r>
      <w:r w:rsidR="009D646A">
        <w:t xml:space="preserve">; see also </w:t>
      </w:r>
      <w:r w:rsidR="009D646A" w:rsidRPr="00EC7893">
        <w:t>Anders</w:t>
      </w:r>
      <w:r w:rsidR="009D646A">
        <w:t xml:space="preserve"> et al., </w:t>
      </w:r>
      <w:r w:rsidR="009D646A" w:rsidRPr="00EC7893">
        <w:t>2017</w:t>
      </w:r>
      <w:r w:rsidR="00824F7A" w:rsidRPr="00C46368">
        <w:rPr>
          <w:lang w:val="en-AU"/>
        </w:rPr>
        <w:t>).</w:t>
      </w:r>
      <w:r w:rsidR="00F52D70">
        <w:rPr>
          <w:lang w:val="en-AU"/>
        </w:rPr>
        <w:t xml:space="preserve"> </w:t>
      </w:r>
      <w:r w:rsidR="003A1251">
        <w:rPr>
          <w:lang w:val="en-AU"/>
        </w:rPr>
        <w:t>Damage to the LIFG specifically was associated with this pattern of performance.</w:t>
      </w:r>
    </w:p>
    <w:p w14:paraId="3DD4542F" w14:textId="79B5F9E9" w:rsidR="00824F7A" w:rsidRDefault="00824F7A" w:rsidP="00824F7A">
      <w:pPr>
        <w:spacing w:line="480" w:lineRule="auto"/>
        <w:ind w:firstLine="720"/>
        <w:rPr>
          <w:lang w:val="en-AU"/>
        </w:rPr>
      </w:pPr>
      <w:r>
        <w:rPr>
          <w:szCs w:val="22"/>
        </w:rPr>
        <w:t xml:space="preserve">Finally, effective sentence production </w:t>
      </w:r>
      <w:r w:rsidR="008D1D79">
        <w:rPr>
          <w:szCs w:val="22"/>
        </w:rPr>
        <w:t xml:space="preserve">also </w:t>
      </w:r>
      <w:r>
        <w:rPr>
          <w:szCs w:val="22"/>
        </w:rPr>
        <w:t>requires synchronisation of all relevant processes</w:t>
      </w:r>
      <w:r>
        <w:rPr>
          <w:lang w:val="en-AU"/>
        </w:rPr>
        <w:t xml:space="preserve">. For example, </w:t>
      </w:r>
      <w:r w:rsidRPr="006A3E7D">
        <w:rPr>
          <w:lang w:val="en-AU"/>
        </w:rPr>
        <w:t xml:space="preserve">lexical elements need to be retrieved sufficiently rapidly to ensure that each is available </w:t>
      </w:r>
      <w:proofErr w:type="gramStart"/>
      <w:r w:rsidRPr="006A3E7D">
        <w:rPr>
          <w:lang w:val="en-AU"/>
        </w:rPr>
        <w:t>at the moment</w:t>
      </w:r>
      <w:proofErr w:type="gramEnd"/>
      <w:r w:rsidRPr="006A3E7D">
        <w:rPr>
          <w:lang w:val="en-AU"/>
        </w:rPr>
        <w:t xml:space="preserve"> </w:t>
      </w:r>
      <w:r>
        <w:rPr>
          <w:lang w:val="en-AU"/>
        </w:rPr>
        <w:t>when it needs to be integrated</w:t>
      </w:r>
      <w:r w:rsidRPr="006A3E7D">
        <w:rPr>
          <w:lang w:val="en-AU"/>
        </w:rPr>
        <w:t xml:space="preserve"> into the </w:t>
      </w:r>
      <w:r>
        <w:rPr>
          <w:lang w:val="en-AU"/>
        </w:rPr>
        <w:t>sentence</w:t>
      </w:r>
      <w:r w:rsidRPr="006A3E7D">
        <w:rPr>
          <w:lang w:val="en-AU"/>
        </w:rPr>
        <w:t xml:space="preserve"> plan (Hartsuiker &amp; Kolk, 1998; Kolk &amp; Van Grunsven, 1985; Kolk, 1995, 2006</w:t>
      </w:r>
      <w:r w:rsidR="00DA6EBA">
        <w:rPr>
          <w:lang w:val="en-AU"/>
        </w:rPr>
        <w:t xml:space="preserve">; see also </w:t>
      </w:r>
      <w:proofErr w:type="spellStart"/>
      <w:r w:rsidR="00DA6EBA" w:rsidRPr="00DA6EBA">
        <w:rPr>
          <w:lang w:val="en-AU"/>
        </w:rPr>
        <w:t>Goldmann</w:t>
      </w:r>
      <w:proofErr w:type="spellEnd"/>
      <w:r w:rsidR="00DA6EBA">
        <w:rPr>
          <w:lang w:val="en-AU"/>
        </w:rPr>
        <w:t xml:space="preserve"> et al., </w:t>
      </w:r>
      <w:r w:rsidR="00DA6EBA" w:rsidRPr="00DA6EBA">
        <w:rPr>
          <w:lang w:val="en-AU"/>
        </w:rPr>
        <w:t xml:space="preserve">2001). The influence of phonological context on the sound errors of a speaker with Wernicke's aphasia. Brain </w:t>
      </w:r>
      <w:r w:rsidR="00DA6EBA" w:rsidRPr="00DA6EBA">
        <w:rPr>
          <w:lang w:val="en-AU"/>
        </w:rPr>
        <w:lastRenderedPageBreak/>
        <w:t>and Language, 78(3), 279-307.</w:t>
      </w:r>
      <w:r w:rsidRPr="006A3E7D">
        <w:rPr>
          <w:lang w:val="en-AU"/>
        </w:rPr>
        <w:t>).</w:t>
      </w:r>
      <w:r>
        <w:rPr>
          <w:lang w:val="en-AU"/>
        </w:rPr>
        <w:t xml:space="preserve"> Delays </w:t>
      </w:r>
      <w:r w:rsidR="00C00155">
        <w:rPr>
          <w:lang w:val="en-AU"/>
        </w:rPr>
        <w:t xml:space="preserve">arising further downstream – for </w:t>
      </w:r>
      <w:r w:rsidR="006134DA">
        <w:rPr>
          <w:lang w:val="en-AU"/>
        </w:rPr>
        <w:t>example</w:t>
      </w:r>
      <w:r w:rsidR="00C00155">
        <w:rPr>
          <w:lang w:val="en-AU"/>
        </w:rPr>
        <w:t xml:space="preserve">, during the construction of an articulatory-motor plan - may </w:t>
      </w:r>
      <w:r w:rsidR="00FA1EEB">
        <w:rPr>
          <w:lang w:val="en-AU"/>
        </w:rPr>
        <w:t>lead to similar consequences</w:t>
      </w:r>
      <w:r>
        <w:rPr>
          <w:lang w:val="en-AU"/>
        </w:rPr>
        <w:t xml:space="preserve">. Indeed, it has been suggested that outright </w:t>
      </w:r>
      <w:r w:rsidRPr="006A3E7D">
        <w:rPr>
          <w:lang w:val="en-AU"/>
        </w:rPr>
        <w:t>grammatical errors</w:t>
      </w:r>
      <w:r>
        <w:rPr>
          <w:lang w:val="en-AU"/>
        </w:rPr>
        <w:t xml:space="preserve">, such as </w:t>
      </w:r>
      <w:r w:rsidRPr="006A3E7D">
        <w:rPr>
          <w:lang w:val="en-AU"/>
        </w:rPr>
        <w:t>omission</w:t>
      </w:r>
      <w:r>
        <w:rPr>
          <w:lang w:val="en-AU"/>
        </w:rPr>
        <w:t>s</w:t>
      </w:r>
      <w:r w:rsidRPr="006A3E7D">
        <w:rPr>
          <w:lang w:val="en-AU"/>
        </w:rPr>
        <w:t xml:space="preserve"> of function words</w:t>
      </w:r>
      <w:r>
        <w:rPr>
          <w:lang w:val="en-AU"/>
        </w:rPr>
        <w:t xml:space="preserve">, </w:t>
      </w:r>
      <w:r w:rsidRPr="006A3E7D">
        <w:rPr>
          <w:lang w:val="en-AU"/>
        </w:rPr>
        <w:t xml:space="preserve">might </w:t>
      </w:r>
      <w:r>
        <w:rPr>
          <w:lang w:val="en-AU"/>
        </w:rPr>
        <w:t>actually reflect</w:t>
      </w:r>
      <w:r w:rsidRPr="006A3E7D">
        <w:rPr>
          <w:lang w:val="en-AU"/>
        </w:rPr>
        <w:t xml:space="preserve"> </w:t>
      </w:r>
      <w:r>
        <w:rPr>
          <w:lang w:val="en-AU"/>
        </w:rPr>
        <w:t xml:space="preserve">a </w:t>
      </w:r>
      <w:r w:rsidRPr="006A3E7D">
        <w:rPr>
          <w:lang w:val="en-AU"/>
        </w:rPr>
        <w:t xml:space="preserve">compensatory strategy designed to </w:t>
      </w:r>
      <w:r>
        <w:rPr>
          <w:lang w:val="en-AU"/>
        </w:rPr>
        <w:t>minimise</w:t>
      </w:r>
      <w:r w:rsidRPr="006A3E7D">
        <w:rPr>
          <w:lang w:val="en-AU"/>
        </w:rPr>
        <w:t xml:space="preserve"> the </w:t>
      </w:r>
      <w:r>
        <w:rPr>
          <w:lang w:val="en-AU"/>
        </w:rPr>
        <w:t xml:space="preserve">impact of </w:t>
      </w:r>
      <w:r w:rsidR="006134DA">
        <w:rPr>
          <w:lang w:val="en-AU"/>
        </w:rPr>
        <w:t>processing</w:t>
      </w:r>
      <w:r>
        <w:rPr>
          <w:lang w:val="en-AU"/>
        </w:rPr>
        <w:t xml:space="preserve"> delays on overall speech output, while maximising information content</w:t>
      </w:r>
      <w:r w:rsidRPr="006A3E7D">
        <w:rPr>
          <w:lang w:val="en-AU"/>
        </w:rPr>
        <w:t xml:space="preserve"> (De Roo, Kolk, &amp; Hofstede, 2003; Ruiter, Kolk, &amp; Rietveld, 2010; Salis &amp; Edwards, 2004</w:t>
      </w:r>
      <w:r w:rsidR="003D6EFA">
        <w:rPr>
          <w:lang w:val="en-AU"/>
        </w:rPr>
        <w:t xml:space="preserve">; </w:t>
      </w:r>
      <w:r w:rsidR="003D6EFA" w:rsidRPr="003D6EFA">
        <w:rPr>
          <w:lang w:val="en-AU"/>
        </w:rPr>
        <w:t>Sahraoui &amp; Nespoulous, 2012</w:t>
      </w:r>
      <w:r w:rsidRPr="006A3E7D">
        <w:rPr>
          <w:lang w:val="en-AU"/>
        </w:rPr>
        <w:t>).</w:t>
      </w:r>
    </w:p>
    <w:p w14:paraId="15AE5BBB" w14:textId="1FBE22F6" w:rsidR="00824F7A" w:rsidRDefault="00824F7A" w:rsidP="00824F7A">
      <w:pPr>
        <w:spacing w:line="480" w:lineRule="auto"/>
        <w:ind w:firstLine="720"/>
        <w:rPr>
          <w:szCs w:val="22"/>
        </w:rPr>
      </w:pPr>
      <w:r w:rsidRPr="00C46368">
        <w:rPr>
          <w:lang w:val="en-AU"/>
        </w:rPr>
        <w:t>I</w:t>
      </w:r>
      <w:r>
        <w:rPr>
          <w:lang w:val="en-AU"/>
        </w:rPr>
        <w:t>n sum, a number of quite diverse types of impairments</w:t>
      </w:r>
      <w:r w:rsidRPr="006A3E7D">
        <w:rPr>
          <w:lang w:val="en-AU"/>
        </w:rPr>
        <w:t xml:space="preserve"> might </w:t>
      </w:r>
      <w:r>
        <w:rPr>
          <w:lang w:val="en-AU"/>
        </w:rPr>
        <w:t>manifest themselves as disproportionately poor sentence production</w:t>
      </w:r>
      <w:r w:rsidRPr="006A3E7D">
        <w:rPr>
          <w:lang w:val="en-AU"/>
        </w:rPr>
        <w:t xml:space="preserve">, </w:t>
      </w:r>
      <w:r>
        <w:rPr>
          <w:lang w:val="en-AU"/>
        </w:rPr>
        <w:t>and several of these have previously been associated with anterior language structures</w:t>
      </w:r>
      <w:r w:rsidRPr="006A3E7D">
        <w:rPr>
          <w:lang w:val="en-AU"/>
        </w:rPr>
        <w:t xml:space="preserve">. </w:t>
      </w:r>
      <w:r>
        <w:rPr>
          <w:szCs w:val="22"/>
        </w:rPr>
        <w:t>So establishing the cognitive contribution of anterior regions like the middle and inferior frontal gyri is far from straightforward. These regions could be directly involved in “structure building” in some capacity. Alternatively, they could play a critical role in generating</w:t>
      </w:r>
      <w:r w:rsidR="00C00155">
        <w:rPr>
          <w:szCs w:val="22"/>
        </w:rPr>
        <w:t xml:space="preserve"> or </w:t>
      </w:r>
      <w:r>
        <w:rPr>
          <w:szCs w:val="22"/>
        </w:rPr>
        <w:t xml:space="preserve">maintaining propositional representations, in maintaining lexical information online during planning, or in managing competition between concurrently activated lexical representations. Finally, damage to these regions may </w:t>
      </w:r>
      <w:r w:rsidR="00C00155">
        <w:rPr>
          <w:szCs w:val="22"/>
        </w:rPr>
        <w:t>simply create</w:t>
      </w:r>
      <w:r>
        <w:rPr>
          <w:szCs w:val="22"/>
        </w:rPr>
        <w:t xml:space="preserve"> delays, which may impact disproportionately on sentence-level speech production. Not all of these possibilities are necessarily mutually exclusive.</w:t>
      </w:r>
    </w:p>
    <w:p w14:paraId="3E273206" w14:textId="20DA947E" w:rsidR="003840CA" w:rsidRDefault="000944A5" w:rsidP="00E14E59">
      <w:pPr>
        <w:spacing w:line="480" w:lineRule="auto"/>
        <w:ind w:firstLine="720"/>
        <w:rPr>
          <w:lang w:val="en-AU"/>
        </w:rPr>
      </w:pPr>
      <w:r>
        <w:rPr>
          <w:lang w:val="en-AU"/>
        </w:rPr>
        <w:t xml:space="preserve">In order to explore </w:t>
      </w:r>
      <w:r w:rsidR="002665B9">
        <w:rPr>
          <w:lang w:val="en-AU"/>
        </w:rPr>
        <w:t>some of these possibilities in participants with aphasia</w:t>
      </w:r>
      <w:r>
        <w:rPr>
          <w:lang w:val="en-AU"/>
        </w:rPr>
        <w:t xml:space="preserve">, Speer and Wilshire (2013) used a task </w:t>
      </w:r>
      <w:r w:rsidR="006811B9">
        <w:rPr>
          <w:lang w:val="en-AU"/>
        </w:rPr>
        <w:t>in which sentence structure was kept constant</w:t>
      </w:r>
      <w:r>
        <w:rPr>
          <w:lang w:val="en-AU"/>
        </w:rPr>
        <w:t xml:space="preserve"> and only lexical content was varied. </w:t>
      </w:r>
      <w:r w:rsidR="00E676E6">
        <w:rPr>
          <w:lang w:val="en-AU"/>
        </w:rPr>
        <w:t>F</w:t>
      </w:r>
      <w:r w:rsidR="0072731A">
        <w:rPr>
          <w:lang w:val="en-AU"/>
        </w:rPr>
        <w:t xml:space="preserve">ive </w:t>
      </w:r>
      <w:r w:rsidR="00E676E6">
        <w:rPr>
          <w:lang w:val="en-AU"/>
        </w:rPr>
        <w:t xml:space="preserve">individuals </w:t>
      </w:r>
      <w:r w:rsidR="0072731A">
        <w:rPr>
          <w:lang w:val="en-AU"/>
        </w:rPr>
        <w:t xml:space="preserve">with nonfluent </w:t>
      </w:r>
      <w:r>
        <w:rPr>
          <w:lang w:val="en-AU"/>
        </w:rPr>
        <w:t>aphasia</w:t>
      </w:r>
      <w:r w:rsidR="00E12AEC">
        <w:rPr>
          <w:lang w:val="en-AU"/>
        </w:rPr>
        <w:t xml:space="preserve"> </w:t>
      </w:r>
      <w:r w:rsidR="00C00155">
        <w:rPr>
          <w:lang w:val="en-AU"/>
        </w:rPr>
        <w:t>(</w:t>
      </w:r>
      <w:r w:rsidR="00474195">
        <w:rPr>
          <w:lang w:val="en-AU"/>
        </w:rPr>
        <w:t>whose damage extended</w:t>
      </w:r>
      <w:r w:rsidR="00E676E6">
        <w:rPr>
          <w:lang w:val="en-AU"/>
        </w:rPr>
        <w:t xml:space="preserve"> </w:t>
      </w:r>
      <w:r w:rsidR="00C00155">
        <w:rPr>
          <w:lang w:val="en-AU"/>
        </w:rPr>
        <w:t>to the LIFG)</w:t>
      </w:r>
      <w:r w:rsidR="00E676E6">
        <w:rPr>
          <w:lang w:val="en-AU"/>
        </w:rPr>
        <w:t xml:space="preserve"> </w:t>
      </w:r>
      <w:r w:rsidR="0072731A">
        <w:rPr>
          <w:lang w:val="en-AU"/>
        </w:rPr>
        <w:t xml:space="preserve">and four </w:t>
      </w:r>
      <w:r w:rsidR="00E676E6">
        <w:rPr>
          <w:lang w:val="en-AU"/>
        </w:rPr>
        <w:t xml:space="preserve">individuals </w:t>
      </w:r>
      <w:r w:rsidR="0072731A">
        <w:rPr>
          <w:lang w:val="en-AU"/>
        </w:rPr>
        <w:t xml:space="preserve">with </w:t>
      </w:r>
      <w:r>
        <w:rPr>
          <w:lang w:val="en-AU"/>
        </w:rPr>
        <w:t>fluent</w:t>
      </w:r>
      <w:r w:rsidR="0072731A">
        <w:rPr>
          <w:lang w:val="en-AU"/>
        </w:rPr>
        <w:t xml:space="preserve"> </w:t>
      </w:r>
      <w:r>
        <w:rPr>
          <w:lang w:val="en-AU"/>
        </w:rPr>
        <w:t>aphasia</w:t>
      </w:r>
      <w:r w:rsidR="00E676E6">
        <w:rPr>
          <w:lang w:val="en-AU"/>
        </w:rPr>
        <w:t xml:space="preserve"> </w:t>
      </w:r>
      <w:r w:rsidR="00B340D7">
        <w:rPr>
          <w:lang w:val="en-AU"/>
        </w:rPr>
        <w:t>viewed</w:t>
      </w:r>
      <w:r w:rsidR="00E80BDB">
        <w:rPr>
          <w:lang w:val="en-AU"/>
        </w:rPr>
        <w:t xml:space="preserve"> picture</w:t>
      </w:r>
      <w:r w:rsidR="0072731A">
        <w:rPr>
          <w:lang w:val="en-AU"/>
        </w:rPr>
        <w:t xml:space="preserve">d </w:t>
      </w:r>
      <w:r>
        <w:rPr>
          <w:lang w:val="en-AU"/>
        </w:rPr>
        <w:t>scenes</w:t>
      </w:r>
      <w:r w:rsidR="0072731A">
        <w:rPr>
          <w:lang w:val="en-AU"/>
        </w:rPr>
        <w:t xml:space="preserve"> </w:t>
      </w:r>
      <w:r w:rsidR="00474195">
        <w:rPr>
          <w:lang w:val="en-AU"/>
        </w:rPr>
        <w:t>like those in Figure 2</w:t>
      </w:r>
      <w:r w:rsidR="00B340D7">
        <w:rPr>
          <w:lang w:val="en-AU"/>
        </w:rPr>
        <w:t xml:space="preserve"> and had to describe them. The pictures disappeared from view at the commencement of their response</w:t>
      </w:r>
      <w:r w:rsidR="0072731A">
        <w:rPr>
          <w:lang w:val="en-AU"/>
        </w:rPr>
        <w:t xml:space="preserve">. The </w:t>
      </w:r>
      <w:r>
        <w:rPr>
          <w:lang w:val="en-AU"/>
        </w:rPr>
        <w:t>pictures</w:t>
      </w:r>
      <w:r w:rsidR="0072731A">
        <w:rPr>
          <w:lang w:val="en-AU"/>
        </w:rPr>
        <w:t xml:space="preserve"> all</w:t>
      </w:r>
      <w:r w:rsidR="00E80BDB">
        <w:rPr>
          <w:lang w:val="en-AU"/>
        </w:rPr>
        <w:t xml:space="preserve"> consistently elicited simple subject-verb-object sentence</w:t>
      </w:r>
      <w:r w:rsidR="0072731A">
        <w:rPr>
          <w:lang w:val="en-AU"/>
        </w:rPr>
        <w:t>s when presented to healthy participants.</w:t>
      </w:r>
      <w:r w:rsidR="00E80BDB">
        <w:rPr>
          <w:lang w:val="en-AU"/>
        </w:rPr>
        <w:t xml:space="preserve"> </w:t>
      </w:r>
      <w:r w:rsidR="00984D5A">
        <w:rPr>
          <w:lang w:val="en-AU"/>
        </w:rPr>
        <w:t xml:space="preserve">All nouns were within the participants’ expressive vocabulary, as assessed on a single picture naming task. Speer and </w:t>
      </w:r>
      <w:r w:rsidR="00474195">
        <w:rPr>
          <w:lang w:val="en-AU"/>
        </w:rPr>
        <w:t>Wilshire</w:t>
      </w:r>
      <w:r w:rsidR="00984D5A">
        <w:rPr>
          <w:lang w:val="en-AU"/>
        </w:rPr>
        <w:t xml:space="preserve"> found that nonfluent participants</w:t>
      </w:r>
      <w:r w:rsidR="000516AB">
        <w:rPr>
          <w:lang w:val="en-AU"/>
        </w:rPr>
        <w:t>’</w:t>
      </w:r>
      <w:r w:rsidR="00984D5A">
        <w:rPr>
          <w:lang w:val="en-AU"/>
        </w:rPr>
        <w:t xml:space="preserve"> accuracy fell away very dramatically after production of the first subject noun</w:t>
      </w:r>
      <w:r w:rsidR="001A0975">
        <w:rPr>
          <w:lang w:val="en-AU"/>
        </w:rPr>
        <w:t>:</w:t>
      </w:r>
      <w:r w:rsidR="00E676E6">
        <w:rPr>
          <w:lang w:val="en-AU"/>
        </w:rPr>
        <w:t xml:space="preserve"> nouns</w:t>
      </w:r>
      <w:r w:rsidR="00984D5A">
        <w:rPr>
          <w:lang w:val="en-AU"/>
        </w:rPr>
        <w:t xml:space="preserve"> in object position </w:t>
      </w:r>
      <w:r w:rsidR="00E676E6">
        <w:rPr>
          <w:lang w:val="en-AU"/>
        </w:rPr>
        <w:t>were produced much less accurately than those in subject position</w:t>
      </w:r>
      <w:r w:rsidR="00984D5A">
        <w:rPr>
          <w:lang w:val="en-AU"/>
        </w:rPr>
        <w:t xml:space="preserve">. </w:t>
      </w:r>
      <w:r w:rsidR="00474195">
        <w:rPr>
          <w:lang w:val="en-AU"/>
        </w:rPr>
        <w:t xml:space="preserve">Also, </w:t>
      </w:r>
      <w:r w:rsidR="00E12AEC">
        <w:rPr>
          <w:lang w:val="en-AU"/>
        </w:rPr>
        <w:t>those with nonfluent aphasi</w:t>
      </w:r>
      <w:r w:rsidR="00FA1B93">
        <w:rPr>
          <w:lang w:val="en-AU"/>
        </w:rPr>
        <w:t>a</w:t>
      </w:r>
      <w:r w:rsidR="001A0975">
        <w:rPr>
          <w:lang w:val="en-AU"/>
        </w:rPr>
        <w:t xml:space="preserve"> </w:t>
      </w:r>
      <w:r w:rsidR="00FA1B93">
        <w:rPr>
          <w:lang w:val="en-AU"/>
        </w:rPr>
        <w:t>were less accurate at producing</w:t>
      </w:r>
      <w:r w:rsidR="001A0975">
        <w:rPr>
          <w:lang w:val="en-AU"/>
        </w:rPr>
        <w:t xml:space="preserve"> the ta</w:t>
      </w:r>
      <w:r w:rsidR="00804EFE">
        <w:rPr>
          <w:lang w:val="en-AU"/>
        </w:rPr>
        <w:t>r</w:t>
      </w:r>
      <w:r w:rsidR="001A0975">
        <w:rPr>
          <w:lang w:val="en-AU"/>
        </w:rPr>
        <w:t>get senten</w:t>
      </w:r>
      <w:r w:rsidR="00804EFE">
        <w:rPr>
          <w:lang w:val="en-AU"/>
        </w:rPr>
        <w:t>c</w:t>
      </w:r>
      <w:r w:rsidR="001A0975">
        <w:rPr>
          <w:lang w:val="en-AU"/>
        </w:rPr>
        <w:t xml:space="preserve">e if it commenced </w:t>
      </w:r>
      <w:r w:rsidR="00474195">
        <w:rPr>
          <w:lang w:val="en-AU"/>
        </w:rPr>
        <w:t xml:space="preserve">with a </w:t>
      </w:r>
      <w:r w:rsidR="00FA1B93">
        <w:rPr>
          <w:lang w:val="en-AU"/>
        </w:rPr>
        <w:t>low</w:t>
      </w:r>
      <w:r w:rsidR="00474195">
        <w:rPr>
          <w:lang w:val="en-AU"/>
        </w:rPr>
        <w:t xml:space="preserve"> </w:t>
      </w:r>
      <w:r w:rsidR="00824F7A">
        <w:rPr>
          <w:lang w:val="en-AU"/>
        </w:rPr>
        <w:t>frequency</w:t>
      </w:r>
      <w:r w:rsidR="00474195">
        <w:rPr>
          <w:lang w:val="en-AU"/>
        </w:rPr>
        <w:t xml:space="preserve"> subject noun</w:t>
      </w:r>
      <w:r w:rsidR="001A0975">
        <w:rPr>
          <w:lang w:val="en-AU"/>
        </w:rPr>
        <w:t xml:space="preserve"> </w:t>
      </w:r>
      <w:r w:rsidR="00E12AEC">
        <w:rPr>
          <w:lang w:val="en-AU"/>
        </w:rPr>
        <w:t>than with</w:t>
      </w:r>
      <w:r w:rsidR="00474195">
        <w:rPr>
          <w:lang w:val="en-AU"/>
        </w:rPr>
        <w:t xml:space="preserve"> </w:t>
      </w:r>
      <w:r w:rsidR="00FA1B93">
        <w:rPr>
          <w:lang w:val="en-AU"/>
        </w:rPr>
        <w:t xml:space="preserve">a </w:t>
      </w:r>
      <w:r w:rsidR="00FA1B93">
        <w:rPr>
          <w:lang w:val="en-AU"/>
        </w:rPr>
        <w:lastRenderedPageBreak/>
        <w:t>high</w:t>
      </w:r>
      <w:r w:rsidR="00474195">
        <w:rPr>
          <w:lang w:val="en-AU"/>
        </w:rPr>
        <w:t xml:space="preserve"> frequency </w:t>
      </w:r>
      <w:r w:rsidR="004E1AC6">
        <w:rPr>
          <w:lang w:val="en-AU"/>
        </w:rPr>
        <w:t>noun</w:t>
      </w:r>
      <w:r w:rsidR="00474195">
        <w:rPr>
          <w:lang w:val="en-AU"/>
        </w:rPr>
        <w:t xml:space="preserve">. </w:t>
      </w:r>
      <w:r w:rsidR="00FA1B93">
        <w:rPr>
          <w:lang w:val="en-AU"/>
        </w:rPr>
        <w:t>N</w:t>
      </w:r>
      <w:r w:rsidR="00474195">
        <w:rPr>
          <w:lang w:val="en-AU"/>
        </w:rPr>
        <w:t>either</w:t>
      </w:r>
      <w:r w:rsidR="000516AB">
        <w:rPr>
          <w:lang w:val="en-AU"/>
        </w:rPr>
        <w:t xml:space="preserve"> of t</w:t>
      </w:r>
      <w:r w:rsidR="00140787">
        <w:rPr>
          <w:lang w:val="en-AU"/>
        </w:rPr>
        <w:t>he</w:t>
      </w:r>
      <w:r w:rsidR="00E676E6">
        <w:rPr>
          <w:lang w:val="en-AU"/>
        </w:rPr>
        <w:t xml:space="preserve">se </w:t>
      </w:r>
      <w:r w:rsidR="000516AB">
        <w:rPr>
          <w:lang w:val="en-AU"/>
        </w:rPr>
        <w:t>phenomena</w:t>
      </w:r>
      <w:r w:rsidR="00E676E6">
        <w:rPr>
          <w:lang w:val="en-AU"/>
        </w:rPr>
        <w:t xml:space="preserve"> </w:t>
      </w:r>
      <w:r w:rsidR="004E1AC6">
        <w:rPr>
          <w:lang w:val="en-AU"/>
        </w:rPr>
        <w:t>was</w:t>
      </w:r>
      <w:r w:rsidR="00E676E6">
        <w:rPr>
          <w:lang w:val="en-AU"/>
        </w:rPr>
        <w:t xml:space="preserve"> observed in</w:t>
      </w:r>
      <w:r w:rsidR="000516AB">
        <w:rPr>
          <w:lang w:val="en-AU"/>
        </w:rPr>
        <w:t xml:space="preserve"> </w:t>
      </w:r>
      <w:r w:rsidR="00E676E6">
        <w:rPr>
          <w:lang w:val="en-AU"/>
        </w:rPr>
        <w:t>the</w:t>
      </w:r>
      <w:r w:rsidR="00140787">
        <w:rPr>
          <w:lang w:val="en-AU"/>
        </w:rPr>
        <w:t xml:space="preserve"> fluent aphasia participants. </w:t>
      </w:r>
      <w:r w:rsidR="00824F7A">
        <w:rPr>
          <w:lang w:val="en-AU"/>
        </w:rPr>
        <w:t xml:space="preserve">This pattern of performance is consistent with a problem constructing or maintaining a robust </w:t>
      </w:r>
      <w:r w:rsidR="00891088">
        <w:rPr>
          <w:lang w:val="en-AU"/>
        </w:rPr>
        <w:t>message-level representation</w:t>
      </w:r>
      <w:r w:rsidR="00824F7A">
        <w:rPr>
          <w:lang w:val="en-AU"/>
        </w:rPr>
        <w:t xml:space="preserve"> that is capable of “driving” selection of early sentence elements</w:t>
      </w:r>
      <w:r w:rsidR="00984D5A">
        <w:rPr>
          <w:lang w:val="en-AU"/>
        </w:rPr>
        <w:t xml:space="preserve">. </w:t>
      </w:r>
      <w:r w:rsidR="00824F7A">
        <w:rPr>
          <w:lang w:val="en-AU"/>
        </w:rPr>
        <w:t xml:space="preserve">Without this top-down control, the person’s </w:t>
      </w:r>
      <w:r w:rsidR="003840CA">
        <w:rPr>
          <w:lang w:val="en-AU"/>
        </w:rPr>
        <w:t xml:space="preserve">performance </w:t>
      </w:r>
      <w:r w:rsidR="00824F7A">
        <w:rPr>
          <w:lang w:val="en-AU"/>
        </w:rPr>
        <w:t xml:space="preserve">becomes more heavily shaped by bottom-up factors, such as how rapidly and efficiently they can activate the </w:t>
      </w:r>
      <w:r w:rsidR="003840CA">
        <w:rPr>
          <w:lang w:val="en-AU"/>
        </w:rPr>
        <w:t>candidate</w:t>
      </w:r>
      <w:r w:rsidR="00824F7A">
        <w:rPr>
          <w:lang w:val="en-AU"/>
        </w:rPr>
        <w:t xml:space="preserve"> </w:t>
      </w:r>
      <w:r w:rsidR="003840CA">
        <w:rPr>
          <w:lang w:val="en-AU"/>
        </w:rPr>
        <w:t>lexical</w:t>
      </w:r>
      <w:r w:rsidR="00824F7A">
        <w:rPr>
          <w:lang w:val="en-AU"/>
        </w:rPr>
        <w:t xml:space="preserve"> </w:t>
      </w:r>
      <w:r w:rsidR="003840CA">
        <w:rPr>
          <w:lang w:val="en-AU"/>
        </w:rPr>
        <w:t>elements</w:t>
      </w:r>
      <w:r w:rsidR="00824F7A">
        <w:rPr>
          <w:lang w:val="en-AU"/>
        </w:rPr>
        <w:t xml:space="preserve">. </w:t>
      </w:r>
    </w:p>
    <w:p w14:paraId="349180B8" w14:textId="77777777" w:rsidR="00BF1106" w:rsidRDefault="00BF1106" w:rsidP="000A7AA3">
      <w:pPr>
        <w:jc w:val="center"/>
        <w:rPr>
          <w:iCs/>
          <w:lang w:val="en-AU"/>
        </w:rPr>
      </w:pPr>
      <w:r>
        <w:rPr>
          <w:iCs/>
          <w:noProof/>
          <w:lang w:val="en-AU"/>
        </w:rPr>
        <w:drawing>
          <wp:inline distT="0" distB="0" distL="0" distR="0" wp14:anchorId="29CE3CE5" wp14:editId="7CB04492">
            <wp:extent cx="4442070" cy="2064042"/>
            <wp:effectExtent l="12700" t="12700" r="158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 truncated.tiff"/>
                    <pic:cNvPicPr/>
                  </pic:nvPicPr>
                  <pic:blipFill>
                    <a:blip r:embed="rId9">
                      <a:extLst>
                        <a:ext uri="{28A0092B-C50C-407E-A947-70E740481C1C}">
                          <a14:useLocalDpi xmlns:a14="http://schemas.microsoft.com/office/drawing/2010/main" val="0"/>
                        </a:ext>
                      </a:extLst>
                    </a:blip>
                    <a:stretch>
                      <a:fillRect/>
                    </a:stretch>
                  </pic:blipFill>
                  <pic:spPr>
                    <a:xfrm>
                      <a:off x="0" y="0"/>
                      <a:ext cx="4455858" cy="2070449"/>
                    </a:xfrm>
                    <a:prstGeom prst="rect">
                      <a:avLst/>
                    </a:prstGeom>
                    <a:ln>
                      <a:solidFill>
                        <a:schemeClr val="tx1"/>
                      </a:solidFill>
                    </a:ln>
                  </pic:spPr>
                </pic:pic>
              </a:graphicData>
            </a:graphic>
          </wp:inline>
        </w:drawing>
      </w:r>
    </w:p>
    <w:p w14:paraId="4D03DC7F" w14:textId="77777777" w:rsidR="00BF1106" w:rsidRPr="00BF1106" w:rsidRDefault="00BF1106" w:rsidP="00BF1106">
      <w:pPr>
        <w:spacing w:before="240"/>
        <w:rPr>
          <w:b/>
          <w:bCs/>
          <w:iCs/>
          <w:sz w:val="22"/>
          <w:szCs w:val="22"/>
          <w:lang w:val="en-AU"/>
        </w:rPr>
      </w:pPr>
      <w:r w:rsidRPr="00BF1106">
        <w:rPr>
          <w:b/>
          <w:bCs/>
          <w:iCs/>
          <w:sz w:val="22"/>
          <w:szCs w:val="22"/>
          <w:lang w:val="en-AU"/>
        </w:rPr>
        <w:t xml:space="preserve">Figure 2 </w:t>
      </w:r>
    </w:p>
    <w:p w14:paraId="282EE32F" w14:textId="7E67A53A" w:rsidR="00BF1106" w:rsidRPr="00BF1106" w:rsidRDefault="00BF1106" w:rsidP="00BF1106">
      <w:pPr>
        <w:rPr>
          <w:sz w:val="22"/>
          <w:szCs w:val="22"/>
          <w:lang w:val="en-AU"/>
        </w:rPr>
      </w:pPr>
      <w:r w:rsidRPr="00BF1106">
        <w:rPr>
          <w:sz w:val="22"/>
          <w:szCs w:val="22"/>
          <w:lang w:val="en-AU"/>
        </w:rPr>
        <w:t xml:space="preserve">Examples of the pictured scenes used in </w:t>
      </w:r>
      <w:r>
        <w:rPr>
          <w:sz w:val="22"/>
          <w:szCs w:val="22"/>
          <w:lang w:val="en-AU"/>
        </w:rPr>
        <w:t xml:space="preserve">the </w:t>
      </w:r>
      <w:r w:rsidRPr="00BF1106">
        <w:rPr>
          <w:sz w:val="22"/>
          <w:szCs w:val="22"/>
          <w:lang w:val="en-AU"/>
        </w:rPr>
        <w:t>sentence production tasks</w:t>
      </w:r>
      <w:r>
        <w:rPr>
          <w:sz w:val="22"/>
          <w:szCs w:val="22"/>
          <w:lang w:val="en-AU"/>
        </w:rPr>
        <w:t xml:space="preserve"> used in Speer and Wilshire (201</w:t>
      </w:r>
      <w:r w:rsidR="002703DE">
        <w:rPr>
          <w:sz w:val="22"/>
          <w:szCs w:val="22"/>
          <w:lang w:val="en-AU"/>
        </w:rPr>
        <w:t>3</w:t>
      </w:r>
      <w:r w:rsidR="00B838D5">
        <w:rPr>
          <w:sz w:val="22"/>
          <w:szCs w:val="22"/>
          <w:lang w:val="en-AU"/>
        </w:rPr>
        <w:t>)</w:t>
      </w:r>
      <w:r w:rsidR="00B838D5" w:rsidRPr="00BF1106">
        <w:rPr>
          <w:sz w:val="22"/>
          <w:szCs w:val="22"/>
          <w:lang w:val="en-AU"/>
        </w:rPr>
        <w:t>.</w:t>
      </w:r>
      <w:r w:rsidRPr="00BF1106">
        <w:rPr>
          <w:sz w:val="22"/>
          <w:szCs w:val="22"/>
          <w:lang w:val="en-AU"/>
        </w:rPr>
        <w:t xml:space="preserve"> </w:t>
      </w:r>
    </w:p>
    <w:p w14:paraId="4378233A" w14:textId="60A6CFC5" w:rsidR="00BF1106" w:rsidRDefault="00BF1106" w:rsidP="00D60472">
      <w:pPr>
        <w:spacing w:line="480" w:lineRule="auto"/>
        <w:ind w:firstLine="720"/>
        <w:rPr>
          <w:lang w:val="en-AU"/>
        </w:rPr>
      </w:pPr>
    </w:p>
    <w:p w14:paraId="6465B1F2" w14:textId="277C0C5C" w:rsidR="003840CA" w:rsidRDefault="003840CA" w:rsidP="003840CA">
      <w:pPr>
        <w:spacing w:line="480" w:lineRule="auto"/>
        <w:ind w:firstLine="720"/>
        <w:rPr>
          <w:lang w:val="en-AU"/>
        </w:rPr>
      </w:pPr>
      <w:r>
        <w:rPr>
          <w:lang w:val="en-AU"/>
        </w:rPr>
        <w:t xml:space="preserve">In a second study, Speer and Wilshire manipulated the degree of semantic relatedness between the subject and object nouns in the target sentence. The nonfluent participants were less accurate at producing sentences containing semantically related nouns than those with unrelated nouns, whereas the fluent participants showed a trend in the </w:t>
      </w:r>
      <w:r>
        <w:rPr>
          <w:i/>
          <w:iCs/>
          <w:lang w:val="en-AU"/>
        </w:rPr>
        <w:t>opposite</w:t>
      </w:r>
      <w:r>
        <w:rPr>
          <w:lang w:val="en-AU"/>
        </w:rPr>
        <w:t xml:space="preserve"> direction, towards facilitation. A measure of this semantic relatedness effect was strongly correlated with a measure of the subject frequency effect in the first study, suggesting that both effects might arise from </w:t>
      </w:r>
      <w:r w:rsidR="00030FD9">
        <w:rPr>
          <w:lang w:val="en-AU"/>
        </w:rPr>
        <w:t>the same</w:t>
      </w:r>
      <w:r>
        <w:rPr>
          <w:lang w:val="en-AU"/>
        </w:rPr>
        <w:t xml:space="preserve"> underlying impairment. The authors concluded that without a robust representation of the target </w:t>
      </w:r>
      <w:r w:rsidR="00975483">
        <w:rPr>
          <w:lang w:val="en-AU"/>
        </w:rPr>
        <w:t>message</w:t>
      </w:r>
      <w:r>
        <w:rPr>
          <w:lang w:val="en-AU"/>
        </w:rPr>
        <w:t xml:space="preserve"> to be </w:t>
      </w:r>
      <w:r w:rsidR="00975483">
        <w:rPr>
          <w:lang w:val="en-AU"/>
        </w:rPr>
        <w:t>expressed</w:t>
      </w:r>
      <w:r>
        <w:rPr>
          <w:lang w:val="en-AU"/>
        </w:rPr>
        <w:t xml:space="preserve"> – specifically, a representation of its propositional content - individuals cannot effectively manage competition between concurrently activated lexical items destined for that utterance. </w:t>
      </w:r>
    </w:p>
    <w:p w14:paraId="7611AF87" w14:textId="027EEB15" w:rsidR="000953EE" w:rsidRDefault="00FD13D3" w:rsidP="00D60472">
      <w:pPr>
        <w:spacing w:line="480" w:lineRule="auto"/>
        <w:ind w:firstLine="720"/>
        <w:rPr>
          <w:lang w:val="en-AU"/>
        </w:rPr>
      </w:pPr>
      <w:r>
        <w:rPr>
          <w:lang w:val="en-AU"/>
        </w:rPr>
        <w:t xml:space="preserve">Speer and </w:t>
      </w:r>
      <w:r w:rsidR="005E625C">
        <w:rPr>
          <w:lang w:val="en-AU"/>
        </w:rPr>
        <w:t>Wilshire</w:t>
      </w:r>
      <w:r w:rsidR="00BF1106">
        <w:rPr>
          <w:lang w:val="en-AU"/>
        </w:rPr>
        <w:t xml:space="preserve">’s (2013) study </w:t>
      </w:r>
      <w:r w:rsidR="00B838D5">
        <w:rPr>
          <w:lang w:val="en-AU"/>
        </w:rPr>
        <w:t>primarily</w:t>
      </w:r>
      <w:r w:rsidR="00BF1106">
        <w:rPr>
          <w:lang w:val="en-AU"/>
        </w:rPr>
        <w:t xml:space="preserve"> compared participants based on their broad aphasia </w:t>
      </w:r>
      <w:r w:rsidR="00B838D5">
        <w:rPr>
          <w:lang w:val="en-AU"/>
        </w:rPr>
        <w:t>classifications</w:t>
      </w:r>
      <w:r w:rsidR="00BF1106">
        <w:rPr>
          <w:lang w:val="en-AU"/>
        </w:rPr>
        <w:t xml:space="preserve"> (fluent vs. </w:t>
      </w:r>
      <w:r w:rsidR="00B838D5">
        <w:rPr>
          <w:lang w:val="en-AU"/>
        </w:rPr>
        <w:t>nonfluent</w:t>
      </w:r>
      <w:r w:rsidR="00BF1106">
        <w:rPr>
          <w:lang w:val="en-AU"/>
        </w:rPr>
        <w:t xml:space="preserve"> </w:t>
      </w:r>
      <w:r w:rsidR="00B838D5">
        <w:rPr>
          <w:lang w:val="en-AU"/>
        </w:rPr>
        <w:t>aphasia</w:t>
      </w:r>
      <w:r w:rsidR="00BF1106">
        <w:rPr>
          <w:lang w:val="en-AU"/>
        </w:rPr>
        <w:t xml:space="preserve">). They did not </w:t>
      </w:r>
      <w:r w:rsidR="0072731A">
        <w:rPr>
          <w:lang w:val="en-AU"/>
        </w:rPr>
        <w:t xml:space="preserve">systematically </w:t>
      </w:r>
      <w:r w:rsidR="00BF1106">
        <w:rPr>
          <w:lang w:val="en-AU"/>
        </w:rPr>
        <w:t xml:space="preserve">examine the </w:t>
      </w:r>
      <w:r w:rsidR="00B838D5">
        <w:rPr>
          <w:lang w:val="en-AU"/>
        </w:rPr>
        <w:t>associations</w:t>
      </w:r>
      <w:r w:rsidR="00BF1106">
        <w:rPr>
          <w:lang w:val="en-AU"/>
        </w:rPr>
        <w:t xml:space="preserve"> between performance </w:t>
      </w:r>
      <w:r w:rsidR="00A460C5">
        <w:rPr>
          <w:lang w:val="en-AU"/>
        </w:rPr>
        <w:t xml:space="preserve">and </w:t>
      </w:r>
      <w:r w:rsidR="00BF1106">
        <w:rPr>
          <w:lang w:val="en-AU"/>
        </w:rPr>
        <w:t>lesion location</w:t>
      </w:r>
      <w:r>
        <w:rPr>
          <w:lang w:val="en-AU"/>
        </w:rPr>
        <w:t xml:space="preserve">. </w:t>
      </w:r>
      <w:r w:rsidR="00E676E6">
        <w:rPr>
          <w:lang w:val="en-AU"/>
        </w:rPr>
        <w:t xml:space="preserve">Also, they </w:t>
      </w:r>
      <w:r w:rsidR="00741CC0">
        <w:rPr>
          <w:lang w:val="en-AU"/>
        </w:rPr>
        <w:t xml:space="preserve">did not </w:t>
      </w:r>
      <w:r w:rsidR="00FF3CA1">
        <w:rPr>
          <w:lang w:val="en-AU"/>
        </w:rPr>
        <w:t xml:space="preserve">examine whether the observed semantic relatedness </w:t>
      </w:r>
      <w:r w:rsidR="00824F7A">
        <w:rPr>
          <w:lang w:val="en-AU"/>
        </w:rPr>
        <w:t>e</w:t>
      </w:r>
      <w:r w:rsidR="00FF3CA1">
        <w:rPr>
          <w:lang w:val="en-AU"/>
        </w:rPr>
        <w:t xml:space="preserve">ffects were unique to sentence production contexts, </w:t>
      </w:r>
      <w:r w:rsidR="002919BB">
        <w:rPr>
          <w:lang w:val="en-AU"/>
        </w:rPr>
        <w:t xml:space="preserve">or whether they </w:t>
      </w:r>
      <w:r w:rsidR="002919BB">
        <w:rPr>
          <w:lang w:val="en-AU"/>
        </w:rPr>
        <w:lastRenderedPageBreak/>
        <w:t xml:space="preserve">reflected </w:t>
      </w:r>
      <w:r w:rsidR="008F2958">
        <w:rPr>
          <w:lang w:val="en-AU"/>
        </w:rPr>
        <w:t xml:space="preserve">a </w:t>
      </w:r>
      <w:r w:rsidR="002919BB">
        <w:rPr>
          <w:lang w:val="en-AU"/>
        </w:rPr>
        <w:t>more general difficulty managing competition.</w:t>
      </w:r>
      <w:r w:rsidR="00194638">
        <w:rPr>
          <w:lang w:val="en-AU"/>
        </w:rPr>
        <w:t xml:space="preserve"> </w:t>
      </w:r>
      <w:r w:rsidR="00BF1106">
        <w:rPr>
          <w:lang w:val="en-AU"/>
        </w:rPr>
        <w:t xml:space="preserve">The current study aims to </w:t>
      </w:r>
      <w:r w:rsidR="00E676E6">
        <w:rPr>
          <w:lang w:val="en-AU"/>
        </w:rPr>
        <w:t>address these question</w:t>
      </w:r>
      <w:r w:rsidR="000516AB">
        <w:rPr>
          <w:lang w:val="en-AU"/>
        </w:rPr>
        <w:t>s</w:t>
      </w:r>
      <w:r w:rsidR="00E676E6">
        <w:rPr>
          <w:lang w:val="en-AU"/>
        </w:rPr>
        <w:t xml:space="preserve">. First, </w:t>
      </w:r>
      <w:r w:rsidR="00A179E5">
        <w:rPr>
          <w:lang w:val="en-AU"/>
        </w:rPr>
        <w:t xml:space="preserve">we examine whether the individuals who exhibited semantic interference effects in </w:t>
      </w:r>
      <w:r w:rsidR="00956143">
        <w:rPr>
          <w:lang w:val="en-AU"/>
        </w:rPr>
        <w:t>Speer and Wilshire’s (2013)</w:t>
      </w:r>
      <w:r w:rsidR="00A179E5">
        <w:rPr>
          <w:lang w:val="en-AU"/>
        </w:rPr>
        <w:t xml:space="preserve"> sentence production task were also vulnerable to semantic interference in a single picture naming task. Specifically, we used the blocked cyclic naming</w:t>
      </w:r>
      <w:r w:rsidR="00A179E5" w:rsidRPr="00914A24">
        <w:rPr>
          <w:lang w:val="en-AU"/>
        </w:rPr>
        <w:t xml:space="preserve"> task, in w</w:t>
      </w:r>
      <w:r w:rsidR="00A179E5">
        <w:rPr>
          <w:lang w:val="en-AU"/>
        </w:rPr>
        <w:t xml:space="preserve">hich </w:t>
      </w:r>
      <w:r w:rsidR="00872D43">
        <w:rPr>
          <w:lang w:val="en-AU"/>
        </w:rPr>
        <w:t xml:space="preserve">the </w:t>
      </w:r>
      <w:r w:rsidR="004D0D38">
        <w:rPr>
          <w:lang w:val="en-AU"/>
        </w:rPr>
        <w:t>pictures</w:t>
      </w:r>
      <w:r w:rsidR="00872D43">
        <w:rPr>
          <w:lang w:val="en-AU"/>
        </w:rPr>
        <w:t xml:space="preserve"> to be named </w:t>
      </w:r>
      <w:r w:rsidR="002D2F7D">
        <w:rPr>
          <w:lang w:val="en-AU"/>
        </w:rPr>
        <w:t xml:space="preserve">are repeatedly </w:t>
      </w:r>
      <w:r w:rsidR="00403C44">
        <w:rPr>
          <w:lang w:val="en-AU"/>
        </w:rPr>
        <w:t>sampled</w:t>
      </w:r>
      <w:r w:rsidR="002D2F7D">
        <w:rPr>
          <w:lang w:val="en-AU"/>
        </w:rPr>
        <w:t xml:space="preserve"> f</w:t>
      </w:r>
      <w:r w:rsidR="003840CA">
        <w:rPr>
          <w:lang w:val="en-AU"/>
        </w:rPr>
        <w:t>ro</w:t>
      </w:r>
      <w:r w:rsidR="002D2F7D">
        <w:rPr>
          <w:lang w:val="en-AU"/>
        </w:rPr>
        <w:t xml:space="preserve">m a small </w:t>
      </w:r>
      <w:r w:rsidR="003840CA">
        <w:rPr>
          <w:lang w:val="en-AU"/>
        </w:rPr>
        <w:t>pool</w:t>
      </w:r>
      <w:r w:rsidR="00812F23">
        <w:rPr>
          <w:lang w:val="en-AU"/>
        </w:rPr>
        <w:t xml:space="preserve"> </w:t>
      </w:r>
      <w:r w:rsidR="00812F23" w:rsidRPr="00914A24">
        <w:rPr>
          <w:lang w:val="en-AU"/>
        </w:rPr>
        <w:t>(</w:t>
      </w:r>
      <w:r w:rsidR="00812F23" w:rsidRPr="00283D95">
        <w:rPr>
          <w:lang w:val="en-AU"/>
        </w:rPr>
        <w:t>Belke,</w:t>
      </w:r>
      <w:r w:rsidR="00812F23">
        <w:rPr>
          <w:lang w:val="en-AU"/>
        </w:rPr>
        <w:t xml:space="preserve"> </w:t>
      </w:r>
      <w:r w:rsidR="00812F23" w:rsidRPr="00283D95">
        <w:rPr>
          <w:lang w:val="en-AU"/>
        </w:rPr>
        <w:t>Meyer &amp; Damian, 2005</w:t>
      </w:r>
      <w:r w:rsidR="00812F23">
        <w:rPr>
          <w:lang w:val="en-AU"/>
        </w:rPr>
        <w:t xml:space="preserve">; </w:t>
      </w:r>
      <w:r w:rsidR="00812F23" w:rsidRPr="00914A24">
        <w:rPr>
          <w:lang w:val="en-AU"/>
        </w:rPr>
        <w:t>Kroll and Stewart</w:t>
      </w:r>
      <w:r w:rsidR="00812F23">
        <w:rPr>
          <w:lang w:val="en-AU"/>
        </w:rPr>
        <w:t xml:space="preserve">, </w:t>
      </w:r>
      <w:r w:rsidR="00812F23" w:rsidRPr="00914A24">
        <w:rPr>
          <w:lang w:val="en-AU"/>
        </w:rPr>
        <w:t xml:space="preserve">1994; </w:t>
      </w:r>
      <w:r w:rsidR="00434E14" w:rsidRPr="00434E14">
        <w:rPr>
          <w:lang w:val="en-AU"/>
        </w:rPr>
        <w:t>Python</w:t>
      </w:r>
      <w:r w:rsidR="00434E14">
        <w:rPr>
          <w:lang w:val="en-AU"/>
        </w:rPr>
        <w:t xml:space="preserve"> </w:t>
      </w:r>
      <w:r w:rsidR="00434E14" w:rsidRPr="00434E14">
        <w:rPr>
          <w:lang w:val="en-AU"/>
        </w:rPr>
        <w:t>Gliz</w:t>
      </w:r>
      <w:r w:rsidR="00434E14">
        <w:rPr>
          <w:lang w:val="en-AU"/>
        </w:rPr>
        <w:t>e</w:t>
      </w:r>
      <w:r w:rsidR="00434E14" w:rsidRPr="00434E14">
        <w:rPr>
          <w:lang w:val="en-AU"/>
        </w:rPr>
        <w:t xml:space="preserve"> &amp; Laganaro, 2018</w:t>
      </w:r>
      <w:r w:rsidR="00434E14">
        <w:rPr>
          <w:lang w:val="en-AU"/>
        </w:rPr>
        <w:t xml:space="preserve">; </w:t>
      </w:r>
      <w:r w:rsidR="00812F23" w:rsidRPr="00914A24">
        <w:rPr>
          <w:lang w:val="en-AU"/>
        </w:rPr>
        <w:t>Schnur et al</w:t>
      </w:r>
      <w:r w:rsidR="00434E14">
        <w:rPr>
          <w:lang w:val="en-AU"/>
        </w:rPr>
        <w:t>.,</w:t>
      </w:r>
      <w:r w:rsidR="00812F23" w:rsidRPr="00914A24">
        <w:rPr>
          <w:lang w:val="en-AU"/>
        </w:rPr>
        <w:t xml:space="preserve"> </w:t>
      </w:r>
      <w:r w:rsidR="00812F23">
        <w:rPr>
          <w:lang w:val="en-AU"/>
        </w:rPr>
        <w:t>2005</w:t>
      </w:r>
      <w:r w:rsidR="00434E14">
        <w:rPr>
          <w:lang w:val="en-AU"/>
        </w:rPr>
        <w:t>, 2009</w:t>
      </w:r>
      <w:r w:rsidR="00812F23">
        <w:rPr>
          <w:lang w:val="en-AU"/>
        </w:rPr>
        <w:t>;</w:t>
      </w:r>
      <w:r w:rsidR="00812F23" w:rsidRPr="00914A24">
        <w:rPr>
          <w:lang w:val="en-AU"/>
        </w:rPr>
        <w:t xml:space="preserve"> Wilshire &amp; McCarthy, 2002)</w:t>
      </w:r>
      <w:r w:rsidR="00A179E5">
        <w:rPr>
          <w:lang w:val="en-AU"/>
        </w:rPr>
        <w:t>.</w:t>
      </w:r>
      <w:r w:rsidR="002D2F7D">
        <w:rPr>
          <w:lang w:val="en-AU"/>
        </w:rPr>
        <w:t xml:space="preserve"> Foll</w:t>
      </w:r>
      <w:r w:rsidR="000F1285">
        <w:rPr>
          <w:lang w:val="en-AU"/>
        </w:rPr>
        <w:t>o</w:t>
      </w:r>
      <w:r w:rsidR="002D2F7D">
        <w:rPr>
          <w:lang w:val="en-AU"/>
        </w:rPr>
        <w:t xml:space="preserve">wing </w:t>
      </w:r>
      <w:r w:rsidR="0011529C">
        <w:rPr>
          <w:iCs/>
        </w:rPr>
        <w:t>Schnur et al</w:t>
      </w:r>
      <w:r w:rsidR="000F1285">
        <w:rPr>
          <w:iCs/>
        </w:rPr>
        <w:t>.’s</w:t>
      </w:r>
      <w:r w:rsidR="0011529C">
        <w:rPr>
          <w:iCs/>
        </w:rPr>
        <w:t xml:space="preserve"> (2005)</w:t>
      </w:r>
      <w:r w:rsidR="000F1285">
        <w:rPr>
          <w:iCs/>
        </w:rPr>
        <w:t xml:space="preserve"> observation that </w:t>
      </w:r>
      <w:r w:rsidR="000A4100">
        <w:rPr>
          <w:iCs/>
        </w:rPr>
        <w:t>damage</w:t>
      </w:r>
      <w:r w:rsidR="002D2F7D">
        <w:rPr>
          <w:iCs/>
        </w:rPr>
        <w:t xml:space="preserve"> to the LIFG </w:t>
      </w:r>
      <w:r w:rsidR="00601E90">
        <w:rPr>
          <w:iCs/>
        </w:rPr>
        <w:t>was associate</w:t>
      </w:r>
      <w:r w:rsidR="003C362C">
        <w:rPr>
          <w:iCs/>
        </w:rPr>
        <w:t>d</w:t>
      </w:r>
      <w:r w:rsidR="00601E90">
        <w:rPr>
          <w:iCs/>
        </w:rPr>
        <w:t xml:space="preserve"> with </w:t>
      </w:r>
      <w:r w:rsidR="007F3510">
        <w:rPr>
          <w:iCs/>
        </w:rPr>
        <w:t xml:space="preserve">a </w:t>
      </w:r>
      <w:r w:rsidR="00601E90">
        <w:rPr>
          <w:iCs/>
        </w:rPr>
        <w:t>marked</w:t>
      </w:r>
      <w:r w:rsidR="0011529C">
        <w:rPr>
          <w:iCs/>
        </w:rPr>
        <w:t xml:space="preserve"> semantic interference effect</w:t>
      </w:r>
      <w:r w:rsidR="00601E90">
        <w:rPr>
          <w:iCs/>
        </w:rPr>
        <w:t xml:space="preserve"> that </w:t>
      </w:r>
      <w:r w:rsidR="007F3510">
        <w:rPr>
          <w:iCs/>
        </w:rPr>
        <w:t xml:space="preserve">increased </w:t>
      </w:r>
      <w:r w:rsidR="000F4A9E">
        <w:rPr>
          <w:iCs/>
        </w:rPr>
        <w:t xml:space="preserve">across successive </w:t>
      </w:r>
      <w:r w:rsidR="00CF0BCA">
        <w:rPr>
          <w:iCs/>
        </w:rPr>
        <w:t>cycles</w:t>
      </w:r>
      <w:r w:rsidR="000F4A9E">
        <w:rPr>
          <w:iCs/>
        </w:rPr>
        <w:t xml:space="preserve"> </w:t>
      </w:r>
      <w:r w:rsidR="00CF0BCA">
        <w:rPr>
          <w:iCs/>
        </w:rPr>
        <w:t xml:space="preserve">through the </w:t>
      </w:r>
      <w:r w:rsidR="000F4A9E">
        <w:rPr>
          <w:iCs/>
        </w:rPr>
        <w:t>picture</w:t>
      </w:r>
      <w:r w:rsidR="00CF0BCA">
        <w:rPr>
          <w:iCs/>
        </w:rPr>
        <w:t xml:space="preserve"> list</w:t>
      </w:r>
      <w:r w:rsidR="0011529C">
        <w:rPr>
          <w:iCs/>
        </w:rPr>
        <w:t xml:space="preserve">, </w:t>
      </w:r>
      <w:r w:rsidR="00702B7A">
        <w:rPr>
          <w:iCs/>
        </w:rPr>
        <w:t xml:space="preserve">we </w:t>
      </w:r>
      <w:r w:rsidR="00DB2E9C">
        <w:rPr>
          <w:iCs/>
        </w:rPr>
        <w:t xml:space="preserve">calculated a measure of </w:t>
      </w:r>
      <w:r w:rsidR="003C362C">
        <w:rPr>
          <w:iCs/>
        </w:rPr>
        <w:t>this</w:t>
      </w:r>
      <w:r w:rsidR="00DB2E9C">
        <w:rPr>
          <w:iCs/>
        </w:rPr>
        <w:t xml:space="preserve"> relatedness-by-cycle interaction</w:t>
      </w:r>
      <w:r w:rsidR="003C362C">
        <w:rPr>
          <w:iCs/>
        </w:rPr>
        <w:t xml:space="preserve"> for each individual participant</w:t>
      </w:r>
      <w:r w:rsidR="00DB2E9C">
        <w:rPr>
          <w:iCs/>
        </w:rPr>
        <w:t xml:space="preserve">. </w:t>
      </w:r>
      <w:r w:rsidR="00C00155">
        <w:rPr>
          <w:iCs/>
        </w:rPr>
        <w:t xml:space="preserve">We then examined the interrelationships between these experimental measures and </w:t>
      </w:r>
      <w:r w:rsidR="007A6BE2">
        <w:rPr>
          <w:iCs/>
        </w:rPr>
        <w:t>several</w:t>
      </w:r>
      <w:r w:rsidR="00C00155">
        <w:rPr>
          <w:iCs/>
        </w:rPr>
        <w:t xml:space="preserve"> commonly</w:t>
      </w:r>
      <w:r w:rsidR="007A6BE2">
        <w:rPr>
          <w:iCs/>
        </w:rPr>
        <w:t>-</w:t>
      </w:r>
      <w:r w:rsidR="00C00155">
        <w:rPr>
          <w:iCs/>
        </w:rPr>
        <w:t xml:space="preserve">used </w:t>
      </w:r>
      <w:r w:rsidR="006134DA">
        <w:rPr>
          <w:iCs/>
        </w:rPr>
        <w:t>measures</w:t>
      </w:r>
      <w:r w:rsidR="00C00155">
        <w:rPr>
          <w:iCs/>
        </w:rPr>
        <w:t xml:space="preserve"> of speech fluency, </w:t>
      </w:r>
      <w:r w:rsidR="006134DA">
        <w:rPr>
          <w:iCs/>
        </w:rPr>
        <w:t>articulatory</w:t>
      </w:r>
      <w:r w:rsidR="00C00155">
        <w:rPr>
          <w:iCs/>
        </w:rPr>
        <w:t xml:space="preserve"> quality and grammatical </w:t>
      </w:r>
      <w:r w:rsidR="006134DA">
        <w:rPr>
          <w:iCs/>
        </w:rPr>
        <w:t>wellformedness</w:t>
      </w:r>
      <w:r w:rsidR="00C00155">
        <w:rPr>
          <w:iCs/>
        </w:rPr>
        <w:t xml:space="preserve">. </w:t>
      </w:r>
      <w:r w:rsidR="00872D43">
        <w:rPr>
          <w:lang w:val="en-AU"/>
        </w:rPr>
        <w:t xml:space="preserve">Second, </w:t>
      </w:r>
      <w:r w:rsidR="00A77E1B" w:rsidRPr="00F53CA4">
        <w:rPr>
          <w:shd w:val="clear" w:color="auto" w:fill="FFFFFF" w:themeFill="background1"/>
          <w:lang w:val="en-AU"/>
        </w:rPr>
        <w:t>usin</w:t>
      </w:r>
      <w:r w:rsidR="00A77E1B">
        <w:rPr>
          <w:lang w:val="en-AU"/>
        </w:rPr>
        <w:t xml:space="preserve">g data from eight of the nine individuals </w:t>
      </w:r>
      <w:r w:rsidR="009578F3">
        <w:rPr>
          <w:lang w:val="en-AU"/>
        </w:rPr>
        <w:t>studied</w:t>
      </w:r>
      <w:r w:rsidR="00A77E1B">
        <w:rPr>
          <w:lang w:val="en-AU"/>
        </w:rPr>
        <w:t xml:space="preserve">, </w:t>
      </w:r>
      <w:r w:rsidR="00872D43">
        <w:rPr>
          <w:lang w:val="en-AU"/>
        </w:rPr>
        <w:t>we examine</w:t>
      </w:r>
      <w:r w:rsidR="00DB2E9C">
        <w:rPr>
          <w:lang w:val="en-AU"/>
        </w:rPr>
        <w:t>d</w:t>
      </w:r>
      <w:r w:rsidR="00872D43">
        <w:rPr>
          <w:lang w:val="en-AU"/>
        </w:rPr>
        <w:t xml:space="preserve"> the lesion correlates o</w:t>
      </w:r>
      <w:r w:rsidR="00872D43" w:rsidRPr="00F53CA4">
        <w:rPr>
          <w:shd w:val="clear" w:color="auto" w:fill="FFFFFF" w:themeFill="background1"/>
          <w:lang w:val="en-AU"/>
        </w:rPr>
        <w:t xml:space="preserve">f </w:t>
      </w:r>
      <w:r w:rsidR="00C00155">
        <w:rPr>
          <w:shd w:val="clear" w:color="auto" w:fill="FFFFFF" w:themeFill="background1"/>
          <w:lang w:val="en-AU"/>
        </w:rPr>
        <w:t>these various measures</w:t>
      </w:r>
      <w:r w:rsidR="00872D43">
        <w:rPr>
          <w:lang w:val="en-AU"/>
        </w:rPr>
        <w:t xml:space="preserve">. </w:t>
      </w:r>
    </w:p>
    <w:bookmarkEnd w:id="0"/>
    <w:bookmarkEnd w:id="1"/>
    <w:p w14:paraId="6F387C1D" w14:textId="4C187E8A" w:rsidR="009B1A42" w:rsidRPr="005A5DEE" w:rsidRDefault="002C7746" w:rsidP="009B1A42">
      <w:pPr>
        <w:pStyle w:val="Heading2"/>
        <w:rPr>
          <w:sz w:val="22"/>
        </w:rPr>
      </w:pPr>
      <w:r>
        <w:rPr>
          <w:sz w:val="22"/>
        </w:rPr>
        <w:t xml:space="preserve">2. </w:t>
      </w:r>
      <w:r w:rsidR="009B1A42" w:rsidRPr="005A5DEE">
        <w:rPr>
          <w:sz w:val="22"/>
        </w:rPr>
        <w:t>Method</w:t>
      </w:r>
    </w:p>
    <w:p w14:paraId="64FE4916" w14:textId="4664CD80" w:rsidR="009B1A42" w:rsidRDefault="002C7746" w:rsidP="009B1A42">
      <w:pPr>
        <w:spacing w:line="480" w:lineRule="auto"/>
        <w:rPr>
          <w:b/>
        </w:rPr>
      </w:pPr>
      <w:r>
        <w:rPr>
          <w:b/>
        </w:rPr>
        <w:t xml:space="preserve">2.1 </w:t>
      </w:r>
      <w:r w:rsidR="009B1A42" w:rsidRPr="003A1340">
        <w:rPr>
          <w:b/>
        </w:rPr>
        <w:t>Participants</w:t>
      </w:r>
    </w:p>
    <w:p w14:paraId="0A46C835" w14:textId="2166A673" w:rsidR="009B1A42" w:rsidRDefault="009B1A42" w:rsidP="009B1A42">
      <w:pPr>
        <w:autoSpaceDE w:val="0"/>
        <w:autoSpaceDN w:val="0"/>
        <w:adjustRightInd w:val="0"/>
        <w:spacing w:line="480" w:lineRule="auto"/>
        <w:ind w:firstLine="720"/>
      </w:pPr>
      <w:r>
        <w:rPr>
          <w:lang w:val="en-AU"/>
        </w:rPr>
        <w:t>Eight individuals with aphasia were recruited from community stroke groups. A</w:t>
      </w:r>
      <w:r w:rsidRPr="007D7DAA">
        <w:rPr>
          <w:lang w:val="en-AU"/>
        </w:rPr>
        <w:t xml:space="preserve">ll </w:t>
      </w:r>
      <w:r>
        <w:rPr>
          <w:lang w:val="en-AU"/>
        </w:rPr>
        <w:t>had suffered a</w:t>
      </w:r>
      <w:r w:rsidRPr="007D7DAA">
        <w:rPr>
          <w:lang w:val="en-AU"/>
        </w:rPr>
        <w:t xml:space="preserve"> stroke more than 12 months prior to the</w:t>
      </w:r>
      <w:r>
        <w:rPr>
          <w:lang w:val="en-AU"/>
        </w:rPr>
        <w:t xml:space="preserve"> </w:t>
      </w:r>
      <w:r w:rsidRPr="007D7DAA">
        <w:rPr>
          <w:lang w:val="en-AU"/>
        </w:rPr>
        <w:t>study</w:t>
      </w:r>
      <w:r>
        <w:rPr>
          <w:lang w:val="en-AU"/>
        </w:rPr>
        <w:t xml:space="preserve">, and were classified as having </w:t>
      </w:r>
      <w:r w:rsidRPr="007D7DAA">
        <w:rPr>
          <w:lang w:val="en-AU"/>
        </w:rPr>
        <w:t xml:space="preserve">mild to moderate </w:t>
      </w:r>
      <w:r>
        <w:rPr>
          <w:lang w:val="en-AU"/>
        </w:rPr>
        <w:t xml:space="preserve">aphasia </w:t>
      </w:r>
      <w:r w:rsidRPr="007D7DAA">
        <w:rPr>
          <w:lang w:val="en-AU"/>
        </w:rPr>
        <w:t>according to the Boston Diagnostic Aphasia Examination (BDAE</w:t>
      </w:r>
      <w:r>
        <w:rPr>
          <w:lang w:val="en-AU"/>
        </w:rPr>
        <w:t>-3</w:t>
      </w:r>
      <w:r w:rsidRPr="007D7DAA">
        <w:rPr>
          <w:lang w:val="en-AU"/>
        </w:rPr>
        <w:t>) severity scale (Goodglass et al., 2001)</w:t>
      </w:r>
      <w:r>
        <w:rPr>
          <w:lang w:val="en-AU"/>
        </w:rPr>
        <w:t>. To qualify for the study, participants needed to score at least</w:t>
      </w:r>
      <w:r w:rsidRPr="007D7DAA">
        <w:rPr>
          <w:lang w:val="en-AU"/>
        </w:rPr>
        <w:t xml:space="preserve"> 50% </w:t>
      </w:r>
      <w:r>
        <w:rPr>
          <w:lang w:val="en-AU"/>
        </w:rPr>
        <w:t>correct on the</w:t>
      </w:r>
      <w:r w:rsidRPr="007D7DAA">
        <w:rPr>
          <w:lang w:val="en-AU"/>
        </w:rPr>
        <w:t xml:space="preserve"> Boston Naming test (long form; Goodglass et al., 2001</w:t>
      </w:r>
      <w:r>
        <w:rPr>
          <w:lang w:val="en-AU"/>
        </w:rPr>
        <w:t xml:space="preserve">). </w:t>
      </w:r>
      <w:r w:rsidRPr="007D7DAA">
        <w:rPr>
          <w:lang w:val="en-AU"/>
        </w:rPr>
        <w:t xml:space="preserve">Table 1 presents background information for </w:t>
      </w:r>
      <w:r>
        <w:rPr>
          <w:lang w:val="en-AU"/>
        </w:rPr>
        <w:t>each participant</w:t>
      </w:r>
      <w:r w:rsidR="00824F7A">
        <w:rPr>
          <w:lang w:val="en-AU"/>
        </w:rPr>
        <w:t>.</w:t>
      </w:r>
      <w:r>
        <w:rPr>
          <w:lang w:val="en-AU"/>
        </w:rPr>
        <w:t xml:space="preserve"> Table S1 in the </w:t>
      </w:r>
      <w:r w:rsidR="00517E9E">
        <w:rPr>
          <w:lang w:val="en-AU"/>
        </w:rPr>
        <w:t>Supplementary</w:t>
      </w:r>
      <w:r>
        <w:rPr>
          <w:lang w:val="en-AU"/>
        </w:rPr>
        <w:t xml:space="preserve"> </w:t>
      </w:r>
      <w:r w:rsidR="000C659D">
        <w:rPr>
          <w:lang w:val="en-AU"/>
        </w:rPr>
        <w:t>materials</w:t>
      </w:r>
      <w:r>
        <w:rPr>
          <w:lang w:val="en-AU"/>
        </w:rPr>
        <w:t xml:space="preserve"> </w:t>
      </w:r>
      <w:r w:rsidR="002300B8">
        <w:rPr>
          <w:lang w:val="en-AU"/>
        </w:rPr>
        <w:t>provides</w:t>
      </w:r>
      <w:r>
        <w:rPr>
          <w:lang w:val="en-AU"/>
        </w:rPr>
        <w:t xml:space="preserve"> additional </w:t>
      </w:r>
      <w:r w:rsidR="00085B17">
        <w:rPr>
          <w:lang w:val="en-AU"/>
        </w:rPr>
        <w:t>neuropsychological</w:t>
      </w:r>
      <w:r>
        <w:rPr>
          <w:lang w:val="en-AU"/>
        </w:rPr>
        <w:t xml:space="preserve"> test scores, and Figure S1 presents individual lesion</w:t>
      </w:r>
      <w:r>
        <w:t xml:space="preserve"> maps.</w:t>
      </w:r>
    </w:p>
    <w:p w14:paraId="45FAD13B" w14:textId="51408F5E" w:rsidR="00936A52" w:rsidRDefault="002C7746" w:rsidP="00936A52">
      <w:pPr>
        <w:autoSpaceDE w:val="0"/>
        <w:autoSpaceDN w:val="0"/>
        <w:adjustRightInd w:val="0"/>
        <w:spacing w:before="120" w:line="480" w:lineRule="auto"/>
        <w:rPr>
          <w:b/>
          <w:lang w:val="en-AU"/>
        </w:rPr>
      </w:pPr>
      <w:r>
        <w:rPr>
          <w:b/>
          <w:lang w:val="en-AU"/>
        </w:rPr>
        <w:t xml:space="preserve">2.2 </w:t>
      </w:r>
      <w:r w:rsidR="00936A52">
        <w:rPr>
          <w:b/>
          <w:lang w:val="en-AU"/>
        </w:rPr>
        <w:t>Behavioural Tasks</w:t>
      </w:r>
    </w:p>
    <w:p w14:paraId="7A0C53E1" w14:textId="698EBADB" w:rsidR="00936A52" w:rsidRDefault="002C7746" w:rsidP="002C7746">
      <w:pPr>
        <w:spacing w:line="480" w:lineRule="auto"/>
        <w:ind w:firstLine="720"/>
        <w:rPr>
          <w:lang w:val="en-AU"/>
        </w:rPr>
      </w:pPr>
      <w:r>
        <w:rPr>
          <w:b/>
          <w:bCs/>
          <w:lang w:val="en-AU"/>
        </w:rPr>
        <w:t xml:space="preserve">2.2.1. </w:t>
      </w:r>
      <w:r w:rsidR="00936A52">
        <w:rPr>
          <w:b/>
          <w:bCs/>
          <w:lang w:val="en-AU"/>
        </w:rPr>
        <w:t xml:space="preserve">Elicitation of open-ended speech. </w:t>
      </w:r>
      <w:r w:rsidR="00936A52" w:rsidRPr="00042D59">
        <w:rPr>
          <w:lang w:val="en-AU"/>
        </w:rPr>
        <w:t xml:space="preserve">We obtained </w:t>
      </w:r>
      <w:r w:rsidR="00936A52">
        <w:rPr>
          <w:lang w:val="en-AU"/>
        </w:rPr>
        <w:t>two samples of open-ended speech.</w:t>
      </w:r>
      <w:r w:rsidR="00936A52" w:rsidRPr="00042D59">
        <w:rPr>
          <w:lang w:val="en-AU"/>
        </w:rPr>
        <w:t xml:space="preserve"> </w:t>
      </w:r>
      <w:r w:rsidR="00936A52">
        <w:rPr>
          <w:lang w:val="en-AU"/>
        </w:rPr>
        <w:t xml:space="preserve">The first was obtained using the BDAE-3 protocol, and consists of a sample of the individual’s open-ended conversational speech and also their description of a complex pictured scene </w:t>
      </w:r>
      <w:r w:rsidR="00936A52">
        <w:rPr>
          <w:lang w:val="en-AU"/>
        </w:rPr>
        <w:lastRenderedPageBreak/>
        <w:t xml:space="preserve">(Goodglass et al., 2001). The second was obtained </w:t>
      </w:r>
      <w:r w:rsidR="00936A52" w:rsidRPr="00042D59">
        <w:rPr>
          <w:lang w:val="en-AU"/>
        </w:rPr>
        <w:t>QPA protocol</w:t>
      </w:r>
      <w:r w:rsidR="00936A52">
        <w:rPr>
          <w:lang w:val="en-AU"/>
        </w:rPr>
        <w:t>, and is based on the person’s recount of a well-known fairy tale (</w:t>
      </w:r>
      <w:r w:rsidR="00936A52" w:rsidRPr="00291618">
        <w:t xml:space="preserve">Saffran, Berndt </w:t>
      </w:r>
      <w:r w:rsidR="00936A52">
        <w:t>&amp;</w:t>
      </w:r>
      <w:r w:rsidR="00936A52" w:rsidRPr="00291618">
        <w:t xml:space="preserve"> Schwartz</w:t>
      </w:r>
      <w:r w:rsidR="00936A52">
        <w:t xml:space="preserve">, </w:t>
      </w:r>
      <w:r w:rsidR="00936A52" w:rsidRPr="00291618">
        <w:t>1989</w:t>
      </w:r>
      <w:r w:rsidR="00936A52">
        <w:t>)</w:t>
      </w:r>
      <w:r w:rsidR="00936A52" w:rsidRPr="00042D59">
        <w:rPr>
          <w:lang w:val="en-AU"/>
        </w:rPr>
        <w:t>.</w:t>
      </w:r>
      <w:r w:rsidR="00936A52">
        <w:rPr>
          <w:lang w:val="en-AU"/>
        </w:rPr>
        <w:br w:type="page"/>
      </w:r>
    </w:p>
    <w:tbl>
      <w:tblPr>
        <w:tblW w:w="9863" w:type="dxa"/>
        <w:tblBorders>
          <w:top w:val="single" w:sz="4" w:space="0" w:color="auto"/>
          <w:bottom w:val="single" w:sz="4" w:space="0" w:color="auto"/>
        </w:tblBorders>
        <w:tblLayout w:type="fixed"/>
        <w:tblLook w:val="04A0" w:firstRow="1" w:lastRow="0" w:firstColumn="1" w:lastColumn="0" w:noHBand="0" w:noVBand="1"/>
      </w:tblPr>
      <w:tblGrid>
        <w:gridCol w:w="2742"/>
        <w:gridCol w:w="791"/>
        <w:gridCol w:w="791"/>
        <w:gridCol w:w="791"/>
        <w:gridCol w:w="792"/>
        <w:gridCol w:w="791"/>
        <w:gridCol w:w="791"/>
        <w:gridCol w:w="791"/>
        <w:gridCol w:w="791"/>
        <w:gridCol w:w="792"/>
      </w:tblGrid>
      <w:tr w:rsidR="00B906DC" w:rsidRPr="00F74455" w14:paraId="4DA6ED29" w14:textId="77777777" w:rsidTr="00B906DC">
        <w:tc>
          <w:tcPr>
            <w:tcW w:w="2742" w:type="dxa"/>
            <w:tcBorders>
              <w:top w:val="single" w:sz="4" w:space="0" w:color="auto"/>
              <w:bottom w:val="single" w:sz="4" w:space="0" w:color="auto"/>
            </w:tcBorders>
            <w:shd w:val="clear" w:color="auto" w:fill="auto"/>
            <w:hideMark/>
          </w:tcPr>
          <w:p w14:paraId="156EC93F" w14:textId="77777777" w:rsidR="00B906DC" w:rsidRPr="00F74455" w:rsidRDefault="00B906DC" w:rsidP="009E67EF">
            <w:pPr>
              <w:adjustRightInd w:val="0"/>
              <w:snapToGrid w:val="0"/>
              <w:spacing w:beforeLines="40" w:before="96" w:afterLines="40" w:after="96"/>
              <w:ind w:right="-113"/>
              <w:rPr>
                <w:color w:val="000000"/>
                <w:sz w:val="22"/>
                <w:szCs w:val="22"/>
                <w:lang w:val="en-AU" w:eastAsia="en-US"/>
              </w:rPr>
            </w:pPr>
            <w:r w:rsidRPr="00F74455">
              <w:rPr>
                <w:color w:val="000000"/>
                <w:sz w:val="22"/>
                <w:szCs w:val="22"/>
                <w:lang w:val="en-AU" w:eastAsia="en-US"/>
              </w:rPr>
              <w:lastRenderedPageBreak/>
              <w:t>Initials</w:t>
            </w:r>
          </w:p>
        </w:tc>
        <w:tc>
          <w:tcPr>
            <w:tcW w:w="791" w:type="dxa"/>
            <w:tcBorders>
              <w:top w:val="single" w:sz="4" w:space="0" w:color="auto"/>
              <w:bottom w:val="single" w:sz="4" w:space="0" w:color="auto"/>
            </w:tcBorders>
            <w:shd w:val="clear" w:color="auto" w:fill="auto"/>
            <w:hideMark/>
          </w:tcPr>
          <w:p w14:paraId="562B423D" w14:textId="77777777"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BY</w:t>
            </w:r>
          </w:p>
        </w:tc>
        <w:tc>
          <w:tcPr>
            <w:tcW w:w="791" w:type="dxa"/>
            <w:tcBorders>
              <w:top w:val="single" w:sz="4" w:space="0" w:color="auto"/>
              <w:bottom w:val="single" w:sz="4" w:space="0" w:color="auto"/>
            </w:tcBorders>
            <w:shd w:val="clear" w:color="auto" w:fill="auto"/>
            <w:hideMark/>
          </w:tcPr>
          <w:p w14:paraId="5498FB85" w14:textId="77777777"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DA</w:t>
            </w:r>
          </w:p>
        </w:tc>
        <w:tc>
          <w:tcPr>
            <w:tcW w:w="791" w:type="dxa"/>
            <w:tcBorders>
              <w:top w:val="single" w:sz="4" w:space="0" w:color="auto"/>
              <w:bottom w:val="single" w:sz="4" w:space="0" w:color="auto"/>
            </w:tcBorders>
            <w:shd w:val="clear" w:color="auto" w:fill="auto"/>
            <w:hideMark/>
          </w:tcPr>
          <w:p w14:paraId="0BF60399" w14:textId="77777777"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JG</w:t>
            </w:r>
          </w:p>
        </w:tc>
        <w:tc>
          <w:tcPr>
            <w:tcW w:w="792" w:type="dxa"/>
            <w:tcBorders>
              <w:top w:val="single" w:sz="4" w:space="0" w:color="auto"/>
              <w:bottom w:val="single" w:sz="4" w:space="0" w:color="auto"/>
            </w:tcBorders>
            <w:shd w:val="clear" w:color="auto" w:fill="auto"/>
            <w:hideMark/>
          </w:tcPr>
          <w:p w14:paraId="77F4B5BB" w14:textId="77777777"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JHM</w:t>
            </w:r>
          </w:p>
        </w:tc>
        <w:tc>
          <w:tcPr>
            <w:tcW w:w="791" w:type="dxa"/>
            <w:tcBorders>
              <w:top w:val="single" w:sz="4" w:space="0" w:color="auto"/>
              <w:bottom w:val="single" w:sz="4" w:space="0" w:color="auto"/>
            </w:tcBorders>
          </w:tcPr>
          <w:p w14:paraId="702720D2" w14:textId="255D5AFB" w:rsidR="00B906DC" w:rsidRPr="00F74455" w:rsidRDefault="00B906DC" w:rsidP="009E67EF">
            <w:pPr>
              <w:adjustRightInd w:val="0"/>
              <w:snapToGrid w:val="0"/>
              <w:spacing w:beforeLines="40" w:before="96" w:afterLines="40" w:after="96"/>
              <w:jc w:val="center"/>
              <w:rPr>
                <w:color w:val="000000"/>
                <w:sz w:val="22"/>
                <w:szCs w:val="22"/>
                <w:lang w:val="en-AU" w:eastAsia="en-US"/>
              </w:rPr>
            </w:pPr>
            <w:r>
              <w:rPr>
                <w:color w:val="000000"/>
                <w:sz w:val="22"/>
                <w:szCs w:val="22"/>
                <w:lang w:val="en-AU" w:eastAsia="en-US"/>
              </w:rPr>
              <w:t>RP</w:t>
            </w:r>
          </w:p>
        </w:tc>
        <w:tc>
          <w:tcPr>
            <w:tcW w:w="791" w:type="dxa"/>
            <w:tcBorders>
              <w:top w:val="single" w:sz="4" w:space="0" w:color="auto"/>
              <w:bottom w:val="single" w:sz="4" w:space="0" w:color="auto"/>
            </w:tcBorders>
            <w:shd w:val="clear" w:color="auto" w:fill="auto"/>
            <w:hideMark/>
          </w:tcPr>
          <w:p w14:paraId="01ECCD22" w14:textId="2B156DEF"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NP</w:t>
            </w:r>
          </w:p>
        </w:tc>
        <w:tc>
          <w:tcPr>
            <w:tcW w:w="791" w:type="dxa"/>
            <w:tcBorders>
              <w:top w:val="single" w:sz="4" w:space="0" w:color="auto"/>
              <w:bottom w:val="single" w:sz="4" w:space="0" w:color="auto"/>
            </w:tcBorders>
            <w:shd w:val="clear" w:color="auto" w:fill="auto"/>
            <w:hideMark/>
          </w:tcPr>
          <w:p w14:paraId="7486511D" w14:textId="77777777"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STR</w:t>
            </w:r>
          </w:p>
        </w:tc>
        <w:tc>
          <w:tcPr>
            <w:tcW w:w="791" w:type="dxa"/>
            <w:tcBorders>
              <w:top w:val="single" w:sz="4" w:space="0" w:color="auto"/>
              <w:bottom w:val="single" w:sz="4" w:space="0" w:color="auto"/>
            </w:tcBorders>
            <w:shd w:val="clear" w:color="auto" w:fill="auto"/>
            <w:hideMark/>
          </w:tcPr>
          <w:p w14:paraId="5FE2B57B" w14:textId="77777777"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SW</w:t>
            </w:r>
          </w:p>
        </w:tc>
        <w:tc>
          <w:tcPr>
            <w:tcW w:w="792" w:type="dxa"/>
            <w:tcBorders>
              <w:top w:val="single" w:sz="4" w:space="0" w:color="auto"/>
              <w:bottom w:val="single" w:sz="4" w:space="0" w:color="auto"/>
            </w:tcBorders>
            <w:shd w:val="clear" w:color="auto" w:fill="auto"/>
          </w:tcPr>
          <w:p w14:paraId="1759087A" w14:textId="77777777" w:rsidR="00B906DC" w:rsidRPr="00F74455" w:rsidRDefault="00B906DC" w:rsidP="009E67EF">
            <w:pPr>
              <w:adjustRightInd w:val="0"/>
              <w:snapToGrid w:val="0"/>
              <w:spacing w:beforeLines="40" w:before="96" w:afterLines="40" w:after="96"/>
              <w:jc w:val="center"/>
              <w:rPr>
                <w:color w:val="000000"/>
                <w:sz w:val="22"/>
                <w:szCs w:val="22"/>
                <w:lang w:val="en-AU" w:eastAsia="en-US"/>
              </w:rPr>
            </w:pPr>
            <w:r w:rsidRPr="00F74455">
              <w:rPr>
                <w:color w:val="000000"/>
                <w:sz w:val="22"/>
                <w:szCs w:val="22"/>
                <w:lang w:val="en-AU" w:eastAsia="en-US"/>
              </w:rPr>
              <w:t>WL</w:t>
            </w:r>
          </w:p>
        </w:tc>
      </w:tr>
      <w:tr w:rsidR="00B906DC" w:rsidRPr="00A4111C" w14:paraId="5983D346" w14:textId="77777777" w:rsidTr="00B906DC">
        <w:tc>
          <w:tcPr>
            <w:tcW w:w="2742" w:type="dxa"/>
            <w:shd w:val="clear" w:color="auto" w:fill="auto"/>
          </w:tcPr>
          <w:p w14:paraId="17E52A9E" w14:textId="77777777" w:rsidR="00B906DC" w:rsidRPr="00A4111C" w:rsidRDefault="00B906DC" w:rsidP="009E67EF">
            <w:pPr>
              <w:adjustRightInd w:val="0"/>
              <w:snapToGrid w:val="0"/>
              <w:spacing w:beforeLines="40" w:before="96" w:afterLines="40" w:after="96"/>
              <w:ind w:right="-113"/>
              <w:rPr>
                <w:b/>
                <w:bCs/>
                <w:color w:val="000000"/>
                <w:sz w:val="22"/>
                <w:szCs w:val="22"/>
              </w:rPr>
            </w:pPr>
            <w:r w:rsidRPr="00A4111C">
              <w:rPr>
                <w:b/>
                <w:bCs/>
                <w:color w:val="000000"/>
                <w:sz w:val="22"/>
                <w:szCs w:val="22"/>
                <w:lang w:val="en-AU"/>
              </w:rPr>
              <w:t>General information:</w:t>
            </w:r>
          </w:p>
        </w:tc>
        <w:tc>
          <w:tcPr>
            <w:tcW w:w="791" w:type="dxa"/>
            <w:shd w:val="clear" w:color="auto" w:fill="auto"/>
          </w:tcPr>
          <w:p w14:paraId="4DA0B861" w14:textId="77777777" w:rsidR="00B906DC" w:rsidRPr="00A4111C" w:rsidRDefault="00B906DC" w:rsidP="009E67EF">
            <w:pPr>
              <w:adjustRightInd w:val="0"/>
              <w:snapToGrid w:val="0"/>
              <w:spacing w:beforeLines="40" w:before="96" w:afterLines="40" w:after="96"/>
              <w:jc w:val="center"/>
              <w:rPr>
                <w:b/>
                <w:bCs/>
                <w:color w:val="000000"/>
                <w:sz w:val="22"/>
                <w:szCs w:val="22"/>
              </w:rPr>
            </w:pPr>
          </w:p>
        </w:tc>
        <w:tc>
          <w:tcPr>
            <w:tcW w:w="791" w:type="dxa"/>
            <w:shd w:val="clear" w:color="auto" w:fill="auto"/>
          </w:tcPr>
          <w:p w14:paraId="29CE37EF" w14:textId="77777777" w:rsidR="00B906DC" w:rsidRPr="00A4111C" w:rsidRDefault="00B906DC" w:rsidP="009E67EF">
            <w:pPr>
              <w:adjustRightInd w:val="0"/>
              <w:snapToGrid w:val="0"/>
              <w:spacing w:beforeLines="40" w:before="96" w:afterLines="40" w:after="96"/>
              <w:jc w:val="center"/>
              <w:rPr>
                <w:b/>
                <w:bCs/>
                <w:color w:val="000000"/>
                <w:sz w:val="22"/>
                <w:szCs w:val="22"/>
              </w:rPr>
            </w:pPr>
          </w:p>
        </w:tc>
        <w:tc>
          <w:tcPr>
            <w:tcW w:w="791" w:type="dxa"/>
            <w:shd w:val="clear" w:color="auto" w:fill="auto"/>
          </w:tcPr>
          <w:p w14:paraId="6744855E" w14:textId="77777777" w:rsidR="00B906DC" w:rsidRPr="00A4111C" w:rsidRDefault="00B906DC" w:rsidP="009E67EF">
            <w:pPr>
              <w:adjustRightInd w:val="0"/>
              <w:snapToGrid w:val="0"/>
              <w:spacing w:beforeLines="40" w:before="96" w:afterLines="40" w:after="96"/>
              <w:jc w:val="center"/>
              <w:rPr>
                <w:b/>
                <w:bCs/>
                <w:color w:val="000000"/>
                <w:sz w:val="22"/>
                <w:szCs w:val="22"/>
              </w:rPr>
            </w:pPr>
          </w:p>
        </w:tc>
        <w:tc>
          <w:tcPr>
            <w:tcW w:w="792" w:type="dxa"/>
            <w:shd w:val="clear" w:color="auto" w:fill="auto"/>
          </w:tcPr>
          <w:p w14:paraId="4ABD542B" w14:textId="77777777" w:rsidR="00B906DC" w:rsidRPr="00A4111C" w:rsidRDefault="00B906DC" w:rsidP="009E67EF">
            <w:pPr>
              <w:adjustRightInd w:val="0"/>
              <w:snapToGrid w:val="0"/>
              <w:spacing w:beforeLines="40" w:before="96" w:afterLines="40" w:after="96"/>
              <w:jc w:val="center"/>
              <w:rPr>
                <w:b/>
                <w:bCs/>
                <w:color w:val="000000"/>
                <w:sz w:val="22"/>
                <w:szCs w:val="22"/>
              </w:rPr>
            </w:pPr>
          </w:p>
        </w:tc>
        <w:tc>
          <w:tcPr>
            <w:tcW w:w="791" w:type="dxa"/>
          </w:tcPr>
          <w:p w14:paraId="1AFB29CC" w14:textId="77777777" w:rsidR="00B906DC" w:rsidRPr="00A4111C" w:rsidRDefault="00B906DC" w:rsidP="009E67EF">
            <w:pPr>
              <w:adjustRightInd w:val="0"/>
              <w:snapToGrid w:val="0"/>
              <w:spacing w:beforeLines="40" w:before="96" w:afterLines="40" w:after="96"/>
              <w:jc w:val="center"/>
              <w:rPr>
                <w:b/>
                <w:bCs/>
                <w:color w:val="000000"/>
                <w:sz w:val="22"/>
                <w:szCs w:val="22"/>
              </w:rPr>
            </w:pPr>
          </w:p>
        </w:tc>
        <w:tc>
          <w:tcPr>
            <w:tcW w:w="791" w:type="dxa"/>
            <w:shd w:val="clear" w:color="auto" w:fill="auto"/>
          </w:tcPr>
          <w:p w14:paraId="5C52DA79" w14:textId="73518F80" w:rsidR="00B906DC" w:rsidRPr="00A4111C" w:rsidRDefault="00B906DC" w:rsidP="009E67EF">
            <w:pPr>
              <w:adjustRightInd w:val="0"/>
              <w:snapToGrid w:val="0"/>
              <w:spacing w:beforeLines="40" w:before="96" w:afterLines="40" w:after="96"/>
              <w:jc w:val="center"/>
              <w:rPr>
                <w:b/>
                <w:bCs/>
                <w:color w:val="000000"/>
                <w:sz w:val="22"/>
                <w:szCs w:val="22"/>
              </w:rPr>
            </w:pPr>
          </w:p>
        </w:tc>
        <w:tc>
          <w:tcPr>
            <w:tcW w:w="791" w:type="dxa"/>
            <w:shd w:val="clear" w:color="auto" w:fill="auto"/>
          </w:tcPr>
          <w:p w14:paraId="71944087" w14:textId="77777777" w:rsidR="00B906DC" w:rsidRPr="00A4111C" w:rsidRDefault="00B906DC" w:rsidP="009E67EF">
            <w:pPr>
              <w:adjustRightInd w:val="0"/>
              <w:snapToGrid w:val="0"/>
              <w:spacing w:beforeLines="40" w:before="96" w:afterLines="40" w:after="96"/>
              <w:jc w:val="center"/>
              <w:rPr>
                <w:b/>
                <w:bCs/>
                <w:color w:val="000000"/>
                <w:sz w:val="22"/>
                <w:szCs w:val="22"/>
              </w:rPr>
            </w:pPr>
          </w:p>
        </w:tc>
        <w:tc>
          <w:tcPr>
            <w:tcW w:w="791" w:type="dxa"/>
            <w:shd w:val="clear" w:color="auto" w:fill="auto"/>
          </w:tcPr>
          <w:p w14:paraId="5F7C5C73" w14:textId="77777777" w:rsidR="00B906DC" w:rsidRPr="00A4111C" w:rsidRDefault="00B906DC" w:rsidP="009E67EF">
            <w:pPr>
              <w:adjustRightInd w:val="0"/>
              <w:snapToGrid w:val="0"/>
              <w:spacing w:beforeLines="40" w:before="96" w:afterLines="40" w:after="96"/>
              <w:jc w:val="center"/>
              <w:rPr>
                <w:b/>
                <w:bCs/>
                <w:color w:val="000000"/>
                <w:sz w:val="22"/>
                <w:szCs w:val="22"/>
              </w:rPr>
            </w:pPr>
          </w:p>
        </w:tc>
        <w:tc>
          <w:tcPr>
            <w:tcW w:w="792" w:type="dxa"/>
          </w:tcPr>
          <w:p w14:paraId="40F386B6" w14:textId="77777777" w:rsidR="00B906DC" w:rsidRPr="00A4111C" w:rsidRDefault="00B906DC" w:rsidP="009E67EF">
            <w:pPr>
              <w:adjustRightInd w:val="0"/>
              <w:snapToGrid w:val="0"/>
              <w:spacing w:beforeLines="40" w:before="96" w:afterLines="40" w:after="96"/>
              <w:jc w:val="center"/>
              <w:rPr>
                <w:b/>
                <w:bCs/>
                <w:color w:val="000000"/>
                <w:sz w:val="22"/>
                <w:szCs w:val="22"/>
              </w:rPr>
            </w:pPr>
          </w:p>
        </w:tc>
      </w:tr>
      <w:tr w:rsidR="00B906DC" w:rsidRPr="00F74455" w14:paraId="76FCC310" w14:textId="77777777" w:rsidTr="00B906DC">
        <w:tc>
          <w:tcPr>
            <w:tcW w:w="2742" w:type="dxa"/>
            <w:shd w:val="clear" w:color="auto" w:fill="auto"/>
          </w:tcPr>
          <w:p w14:paraId="314D187F" w14:textId="77777777" w:rsidR="00B906DC" w:rsidRPr="00F74455" w:rsidRDefault="00B906DC" w:rsidP="009E67EF">
            <w:pPr>
              <w:spacing w:beforeLines="40" w:before="96" w:afterLines="40" w:after="96"/>
              <w:rPr>
                <w:color w:val="000000"/>
                <w:sz w:val="22"/>
                <w:szCs w:val="22"/>
              </w:rPr>
            </w:pPr>
            <w:r w:rsidRPr="00F74455">
              <w:rPr>
                <w:color w:val="000000"/>
                <w:sz w:val="22"/>
                <w:szCs w:val="22"/>
                <w:lang w:val="en-AU"/>
              </w:rPr>
              <w:t>Age</w:t>
            </w:r>
          </w:p>
        </w:tc>
        <w:tc>
          <w:tcPr>
            <w:tcW w:w="791" w:type="dxa"/>
            <w:shd w:val="clear" w:color="auto" w:fill="auto"/>
          </w:tcPr>
          <w:p w14:paraId="75B18179"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59</w:t>
            </w:r>
          </w:p>
        </w:tc>
        <w:tc>
          <w:tcPr>
            <w:tcW w:w="791" w:type="dxa"/>
            <w:shd w:val="clear" w:color="auto" w:fill="auto"/>
          </w:tcPr>
          <w:p w14:paraId="35C0E7C8"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71</w:t>
            </w:r>
          </w:p>
        </w:tc>
        <w:tc>
          <w:tcPr>
            <w:tcW w:w="791" w:type="dxa"/>
            <w:shd w:val="clear" w:color="auto" w:fill="auto"/>
          </w:tcPr>
          <w:p w14:paraId="4488C1FE"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73</w:t>
            </w:r>
          </w:p>
        </w:tc>
        <w:tc>
          <w:tcPr>
            <w:tcW w:w="792" w:type="dxa"/>
            <w:shd w:val="clear" w:color="auto" w:fill="auto"/>
          </w:tcPr>
          <w:p w14:paraId="4D86FB0C"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52</w:t>
            </w:r>
          </w:p>
        </w:tc>
        <w:tc>
          <w:tcPr>
            <w:tcW w:w="791" w:type="dxa"/>
          </w:tcPr>
          <w:p w14:paraId="71916AB4" w14:textId="60C5089E" w:rsidR="00B906DC" w:rsidRPr="00F74455" w:rsidRDefault="00B906DC" w:rsidP="009E67EF">
            <w:pPr>
              <w:spacing w:beforeLines="40" w:before="96" w:afterLines="40" w:after="96"/>
              <w:jc w:val="center"/>
              <w:rPr>
                <w:color w:val="000000"/>
                <w:sz w:val="22"/>
                <w:szCs w:val="22"/>
                <w:lang w:val="en-AU"/>
              </w:rPr>
            </w:pPr>
            <w:r>
              <w:rPr>
                <w:color w:val="000000"/>
                <w:sz w:val="22"/>
                <w:szCs w:val="22"/>
                <w:lang w:val="en-AU"/>
              </w:rPr>
              <w:t>66</w:t>
            </w:r>
          </w:p>
        </w:tc>
        <w:tc>
          <w:tcPr>
            <w:tcW w:w="791" w:type="dxa"/>
            <w:shd w:val="clear" w:color="auto" w:fill="auto"/>
          </w:tcPr>
          <w:p w14:paraId="4E59EA07" w14:textId="193DC3E8"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73</w:t>
            </w:r>
          </w:p>
        </w:tc>
        <w:tc>
          <w:tcPr>
            <w:tcW w:w="791" w:type="dxa"/>
            <w:shd w:val="clear" w:color="auto" w:fill="auto"/>
          </w:tcPr>
          <w:p w14:paraId="6A73F33F"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81</w:t>
            </w:r>
          </w:p>
        </w:tc>
        <w:tc>
          <w:tcPr>
            <w:tcW w:w="791" w:type="dxa"/>
            <w:shd w:val="clear" w:color="auto" w:fill="auto"/>
          </w:tcPr>
          <w:p w14:paraId="7D479685"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82</w:t>
            </w:r>
          </w:p>
        </w:tc>
        <w:tc>
          <w:tcPr>
            <w:tcW w:w="792" w:type="dxa"/>
          </w:tcPr>
          <w:p w14:paraId="3E6655F7"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64</w:t>
            </w:r>
          </w:p>
        </w:tc>
      </w:tr>
      <w:tr w:rsidR="00B906DC" w:rsidRPr="00F74455" w14:paraId="78A7928D" w14:textId="77777777" w:rsidTr="00B906DC">
        <w:tc>
          <w:tcPr>
            <w:tcW w:w="2742" w:type="dxa"/>
            <w:shd w:val="clear" w:color="auto" w:fill="auto"/>
          </w:tcPr>
          <w:p w14:paraId="59D430F3" w14:textId="77777777" w:rsidR="00B906DC" w:rsidRPr="00F74455" w:rsidRDefault="00B906DC" w:rsidP="009E67EF">
            <w:pPr>
              <w:spacing w:beforeLines="40" w:before="96" w:afterLines="40" w:after="96"/>
              <w:rPr>
                <w:color w:val="000000"/>
                <w:sz w:val="22"/>
                <w:szCs w:val="22"/>
              </w:rPr>
            </w:pPr>
            <w:r w:rsidRPr="00F74455">
              <w:rPr>
                <w:color w:val="000000"/>
                <w:sz w:val="22"/>
                <w:szCs w:val="22"/>
                <w:lang w:val="en-AU"/>
              </w:rPr>
              <w:t>Gender</w:t>
            </w:r>
          </w:p>
        </w:tc>
        <w:tc>
          <w:tcPr>
            <w:tcW w:w="791" w:type="dxa"/>
            <w:shd w:val="clear" w:color="auto" w:fill="auto"/>
          </w:tcPr>
          <w:p w14:paraId="3C66C919"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M</w:t>
            </w:r>
          </w:p>
        </w:tc>
        <w:tc>
          <w:tcPr>
            <w:tcW w:w="791" w:type="dxa"/>
            <w:shd w:val="clear" w:color="auto" w:fill="auto"/>
          </w:tcPr>
          <w:p w14:paraId="4E3D905C"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M</w:t>
            </w:r>
          </w:p>
        </w:tc>
        <w:tc>
          <w:tcPr>
            <w:tcW w:w="791" w:type="dxa"/>
            <w:shd w:val="clear" w:color="auto" w:fill="auto"/>
          </w:tcPr>
          <w:p w14:paraId="2AD7EFD1"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F</w:t>
            </w:r>
          </w:p>
        </w:tc>
        <w:tc>
          <w:tcPr>
            <w:tcW w:w="792" w:type="dxa"/>
            <w:shd w:val="clear" w:color="auto" w:fill="auto"/>
          </w:tcPr>
          <w:p w14:paraId="3917E8F6"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F</w:t>
            </w:r>
          </w:p>
        </w:tc>
        <w:tc>
          <w:tcPr>
            <w:tcW w:w="791" w:type="dxa"/>
          </w:tcPr>
          <w:p w14:paraId="4E88BF7A" w14:textId="01E88C8A" w:rsidR="00B906DC" w:rsidRPr="00F74455" w:rsidRDefault="00B906DC" w:rsidP="009E67EF">
            <w:pPr>
              <w:spacing w:beforeLines="40" w:before="96" w:afterLines="40" w:after="96"/>
              <w:jc w:val="center"/>
              <w:rPr>
                <w:color w:val="000000"/>
                <w:sz w:val="22"/>
                <w:szCs w:val="22"/>
                <w:lang w:val="en-AU"/>
              </w:rPr>
            </w:pPr>
            <w:r>
              <w:rPr>
                <w:color w:val="000000"/>
                <w:sz w:val="22"/>
                <w:szCs w:val="22"/>
                <w:lang w:val="en-AU"/>
              </w:rPr>
              <w:t>M</w:t>
            </w:r>
          </w:p>
        </w:tc>
        <w:tc>
          <w:tcPr>
            <w:tcW w:w="791" w:type="dxa"/>
            <w:shd w:val="clear" w:color="auto" w:fill="auto"/>
          </w:tcPr>
          <w:p w14:paraId="6550FC82" w14:textId="63A510F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M</w:t>
            </w:r>
          </w:p>
        </w:tc>
        <w:tc>
          <w:tcPr>
            <w:tcW w:w="791" w:type="dxa"/>
            <w:shd w:val="clear" w:color="auto" w:fill="auto"/>
          </w:tcPr>
          <w:p w14:paraId="6EF3EA94"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F</w:t>
            </w:r>
          </w:p>
        </w:tc>
        <w:tc>
          <w:tcPr>
            <w:tcW w:w="791" w:type="dxa"/>
            <w:shd w:val="clear" w:color="auto" w:fill="auto"/>
          </w:tcPr>
          <w:p w14:paraId="1E7B2A6D"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F</w:t>
            </w:r>
          </w:p>
        </w:tc>
        <w:tc>
          <w:tcPr>
            <w:tcW w:w="792" w:type="dxa"/>
          </w:tcPr>
          <w:p w14:paraId="76175868"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M</w:t>
            </w:r>
          </w:p>
        </w:tc>
      </w:tr>
      <w:tr w:rsidR="00B906DC" w:rsidRPr="00F74455" w14:paraId="465EB63D" w14:textId="77777777" w:rsidTr="00B906DC">
        <w:tc>
          <w:tcPr>
            <w:tcW w:w="2742" w:type="dxa"/>
            <w:tcBorders>
              <w:bottom w:val="single" w:sz="4" w:space="0" w:color="auto"/>
            </w:tcBorders>
            <w:shd w:val="clear" w:color="auto" w:fill="auto"/>
          </w:tcPr>
          <w:p w14:paraId="4FAE2654" w14:textId="77777777" w:rsidR="00B906DC" w:rsidRPr="00F74455" w:rsidRDefault="00B906DC" w:rsidP="009E67EF">
            <w:pPr>
              <w:spacing w:beforeLines="40" w:before="96" w:afterLines="40" w:after="96"/>
              <w:rPr>
                <w:color w:val="000000"/>
                <w:sz w:val="22"/>
                <w:szCs w:val="22"/>
              </w:rPr>
            </w:pPr>
            <w:r w:rsidRPr="00F74455">
              <w:rPr>
                <w:color w:val="000000"/>
                <w:sz w:val="22"/>
                <w:szCs w:val="22"/>
                <w:lang w:val="en-AU"/>
              </w:rPr>
              <w:t>Years post CVA</w:t>
            </w:r>
          </w:p>
        </w:tc>
        <w:tc>
          <w:tcPr>
            <w:tcW w:w="791" w:type="dxa"/>
            <w:tcBorders>
              <w:bottom w:val="single" w:sz="4" w:space="0" w:color="auto"/>
            </w:tcBorders>
            <w:shd w:val="clear" w:color="auto" w:fill="auto"/>
          </w:tcPr>
          <w:p w14:paraId="67014F23"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37</w:t>
            </w:r>
          </w:p>
        </w:tc>
        <w:tc>
          <w:tcPr>
            <w:tcW w:w="791" w:type="dxa"/>
            <w:tcBorders>
              <w:bottom w:val="single" w:sz="4" w:space="0" w:color="auto"/>
            </w:tcBorders>
            <w:shd w:val="clear" w:color="auto" w:fill="auto"/>
          </w:tcPr>
          <w:p w14:paraId="3845DDC3"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11</w:t>
            </w:r>
          </w:p>
        </w:tc>
        <w:tc>
          <w:tcPr>
            <w:tcW w:w="791" w:type="dxa"/>
            <w:tcBorders>
              <w:bottom w:val="single" w:sz="4" w:space="0" w:color="auto"/>
            </w:tcBorders>
            <w:shd w:val="clear" w:color="auto" w:fill="auto"/>
          </w:tcPr>
          <w:p w14:paraId="6B5958D4"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6</w:t>
            </w:r>
          </w:p>
        </w:tc>
        <w:tc>
          <w:tcPr>
            <w:tcW w:w="792" w:type="dxa"/>
            <w:tcBorders>
              <w:bottom w:val="single" w:sz="4" w:space="0" w:color="auto"/>
            </w:tcBorders>
            <w:shd w:val="clear" w:color="auto" w:fill="auto"/>
          </w:tcPr>
          <w:p w14:paraId="5DB1B8CC"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10</w:t>
            </w:r>
          </w:p>
        </w:tc>
        <w:tc>
          <w:tcPr>
            <w:tcW w:w="791" w:type="dxa"/>
            <w:tcBorders>
              <w:bottom w:val="single" w:sz="4" w:space="0" w:color="auto"/>
            </w:tcBorders>
          </w:tcPr>
          <w:p w14:paraId="0FC7A0FB" w14:textId="51643644" w:rsidR="00B906DC" w:rsidRPr="00F74455" w:rsidRDefault="00B906DC" w:rsidP="009E67EF">
            <w:pPr>
              <w:spacing w:beforeLines="40" w:before="96" w:afterLines="40" w:after="96"/>
              <w:jc w:val="center"/>
              <w:rPr>
                <w:color w:val="000000"/>
                <w:sz w:val="22"/>
                <w:szCs w:val="22"/>
                <w:lang w:val="en-AU"/>
              </w:rPr>
            </w:pPr>
            <w:r>
              <w:rPr>
                <w:color w:val="000000"/>
                <w:sz w:val="22"/>
                <w:szCs w:val="22"/>
                <w:lang w:val="en-AU"/>
              </w:rPr>
              <w:t>9</w:t>
            </w:r>
          </w:p>
        </w:tc>
        <w:tc>
          <w:tcPr>
            <w:tcW w:w="791" w:type="dxa"/>
            <w:tcBorders>
              <w:bottom w:val="single" w:sz="4" w:space="0" w:color="auto"/>
            </w:tcBorders>
            <w:shd w:val="clear" w:color="auto" w:fill="auto"/>
          </w:tcPr>
          <w:p w14:paraId="060B46A6" w14:textId="0A1CD943"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13</w:t>
            </w:r>
          </w:p>
        </w:tc>
        <w:tc>
          <w:tcPr>
            <w:tcW w:w="791" w:type="dxa"/>
            <w:tcBorders>
              <w:bottom w:val="single" w:sz="4" w:space="0" w:color="auto"/>
            </w:tcBorders>
            <w:shd w:val="clear" w:color="auto" w:fill="auto"/>
          </w:tcPr>
          <w:p w14:paraId="79A20E4A"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13</w:t>
            </w:r>
          </w:p>
        </w:tc>
        <w:tc>
          <w:tcPr>
            <w:tcW w:w="791" w:type="dxa"/>
            <w:tcBorders>
              <w:bottom w:val="single" w:sz="4" w:space="0" w:color="auto"/>
            </w:tcBorders>
            <w:shd w:val="clear" w:color="auto" w:fill="auto"/>
          </w:tcPr>
          <w:p w14:paraId="590B31BB"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4</w:t>
            </w:r>
          </w:p>
        </w:tc>
        <w:tc>
          <w:tcPr>
            <w:tcW w:w="792" w:type="dxa"/>
            <w:tcBorders>
              <w:bottom w:val="single" w:sz="4" w:space="0" w:color="auto"/>
            </w:tcBorders>
          </w:tcPr>
          <w:p w14:paraId="1D7FAEB9" w14:textId="77777777" w:rsidR="00B906DC" w:rsidRPr="00F74455" w:rsidRDefault="00B906DC" w:rsidP="009E67EF">
            <w:pPr>
              <w:spacing w:beforeLines="40" w:before="96" w:afterLines="40" w:after="96"/>
              <w:jc w:val="center"/>
              <w:rPr>
                <w:color w:val="000000"/>
                <w:sz w:val="22"/>
                <w:szCs w:val="22"/>
              </w:rPr>
            </w:pPr>
            <w:r w:rsidRPr="00F74455">
              <w:rPr>
                <w:color w:val="000000"/>
                <w:sz w:val="22"/>
                <w:szCs w:val="22"/>
                <w:lang w:val="en-AU"/>
              </w:rPr>
              <w:t>2</w:t>
            </w:r>
          </w:p>
        </w:tc>
      </w:tr>
      <w:tr w:rsidR="00B906DC" w:rsidRPr="00F74455" w14:paraId="2D9870BE" w14:textId="77777777" w:rsidTr="00D51424">
        <w:tc>
          <w:tcPr>
            <w:tcW w:w="9863" w:type="dxa"/>
            <w:gridSpan w:val="10"/>
            <w:tcBorders>
              <w:top w:val="single" w:sz="4" w:space="0" w:color="auto"/>
              <w:bottom w:val="nil"/>
            </w:tcBorders>
          </w:tcPr>
          <w:p w14:paraId="3A82237E" w14:textId="4D609828" w:rsidR="00B906DC" w:rsidRPr="00F74455" w:rsidRDefault="00B906DC" w:rsidP="009E67EF">
            <w:pPr>
              <w:adjustRightInd w:val="0"/>
              <w:snapToGrid w:val="0"/>
              <w:spacing w:beforeLines="40" w:before="96" w:afterLines="40" w:after="96"/>
              <w:rPr>
                <w:color w:val="000000"/>
                <w:sz w:val="22"/>
                <w:szCs w:val="22"/>
                <w:lang w:val="en-AU"/>
              </w:rPr>
            </w:pPr>
            <w:r w:rsidRPr="00953F21">
              <w:rPr>
                <w:b/>
                <w:bCs/>
                <w:color w:val="000000"/>
                <w:sz w:val="22"/>
                <w:szCs w:val="22"/>
                <w:lang w:val="en-AU"/>
              </w:rPr>
              <w:t>BDAE</w:t>
            </w:r>
            <w:r>
              <w:rPr>
                <w:b/>
                <w:bCs/>
                <w:color w:val="000000"/>
                <w:sz w:val="22"/>
                <w:szCs w:val="22"/>
                <w:lang w:val="en-AU"/>
              </w:rPr>
              <w:t xml:space="preserve"> measures</w:t>
            </w:r>
            <w:r w:rsidRPr="00F74455">
              <w:rPr>
                <w:color w:val="000000"/>
                <w:sz w:val="22"/>
                <w:szCs w:val="22"/>
                <w:lang w:val="en-AU"/>
              </w:rPr>
              <w:t>:</w:t>
            </w:r>
          </w:p>
        </w:tc>
      </w:tr>
      <w:tr w:rsidR="00B906DC" w:rsidRPr="00F74455" w14:paraId="343E633C" w14:textId="77777777" w:rsidTr="00B906DC">
        <w:tc>
          <w:tcPr>
            <w:tcW w:w="2742" w:type="dxa"/>
            <w:tcBorders>
              <w:top w:val="nil"/>
            </w:tcBorders>
            <w:shd w:val="clear" w:color="auto" w:fill="auto"/>
          </w:tcPr>
          <w:p w14:paraId="4C29E5F1" w14:textId="77777777" w:rsidR="00B906DC" w:rsidRPr="00953F21" w:rsidRDefault="00B906DC" w:rsidP="009E67EF">
            <w:pPr>
              <w:adjustRightInd w:val="0"/>
              <w:snapToGrid w:val="0"/>
              <w:spacing w:beforeLines="40" w:before="96" w:afterLines="40" w:after="96"/>
              <w:ind w:right="-113"/>
              <w:rPr>
                <w:color w:val="000000"/>
                <w:sz w:val="22"/>
                <w:szCs w:val="22"/>
              </w:rPr>
            </w:pPr>
            <w:r w:rsidRPr="00953F21">
              <w:rPr>
                <w:color w:val="000000"/>
                <w:sz w:val="22"/>
                <w:szCs w:val="22"/>
                <w:lang w:val="en-AU"/>
              </w:rPr>
              <w:t>Articulatory agility score</w:t>
            </w:r>
          </w:p>
        </w:tc>
        <w:tc>
          <w:tcPr>
            <w:tcW w:w="791" w:type="dxa"/>
            <w:tcBorders>
              <w:top w:val="nil"/>
            </w:tcBorders>
            <w:shd w:val="clear" w:color="auto" w:fill="auto"/>
          </w:tcPr>
          <w:p w14:paraId="7E671BE0"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50</w:t>
            </w:r>
          </w:p>
        </w:tc>
        <w:tc>
          <w:tcPr>
            <w:tcW w:w="791" w:type="dxa"/>
            <w:tcBorders>
              <w:top w:val="nil"/>
            </w:tcBorders>
            <w:shd w:val="clear" w:color="auto" w:fill="auto"/>
          </w:tcPr>
          <w:p w14:paraId="54A54B99"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40</w:t>
            </w:r>
          </w:p>
        </w:tc>
        <w:tc>
          <w:tcPr>
            <w:tcW w:w="791" w:type="dxa"/>
            <w:tcBorders>
              <w:top w:val="nil"/>
            </w:tcBorders>
            <w:shd w:val="clear" w:color="auto" w:fill="auto"/>
          </w:tcPr>
          <w:p w14:paraId="645203B9"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40</w:t>
            </w:r>
          </w:p>
        </w:tc>
        <w:tc>
          <w:tcPr>
            <w:tcW w:w="792" w:type="dxa"/>
            <w:tcBorders>
              <w:top w:val="nil"/>
            </w:tcBorders>
            <w:shd w:val="clear" w:color="auto" w:fill="auto"/>
          </w:tcPr>
          <w:p w14:paraId="3965B390"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10</w:t>
            </w:r>
          </w:p>
        </w:tc>
        <w:tc>
          <w:tcPr>
            <w:tcW w:w="791" w:type="dxa"/>
            <w:tcBorders>
              <w:top w:val="nil"/>
            </w:tcBorders>
          </w:tcPr>
          <w:p w14:paraId="25799F78" w14:textId="51CE6BCD" w:rsidR="00B906DC" w:rsidRPr="00F74455" w:rsidRDefault="00B906DC" w:rsidP="009E67EF">
            <w:pPr>
              <w:adjustRightInd w:val="0"/>
              <w:snapToGrid w:val="0"/>
              <w:spacing w:beforeLines="40" w:before="96" w:afterLines="40" w:after="96"/>
              <w:jc w:val="center"/>
              <w:rPr>
                <w:color w:val="000000"/>
                <w:sz w:val="22"/>
                <w:szCs w:val="22"/>
                <w:lang w:val="en-AU"/>
              </w:rPr>
            </w:pPr>
            <w:r>
              <w:rPr>
                <w:color w:val="000000"/>
                <w:sz w:val="22"/>
                <w:szCs w:val="22"/>
                <w:lang w:val="en-AU"/>
              </w:rPr>
              <w:t>30</w:t>
            </w:r>
          </w:p>
        </w:tc>
        <w:tc>
          <w:tcPr>
            <w:tcW w:w="791" w:type="dxa"/>
            <w:tcBorders>
              <w:top w:val="nil"/>
            </w:tcBorders>
            <w:shd w:val="clear" w:color="auto" w:fill="auto"/>
          </w:tcPr>
          <w:p w14:paraId="0DA66F9C" w14:textId="14F210C2"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70</w:t>
            </w:r>
          </w:p>
        </w:tc>
        <w:tc>
          <w:tcPr>
            <w:tcW w:w="791" w:type="dxa"/>
            <w:tcBorders>
              <w:top w:val="nil"/>
            </w:tcBorders>
            <w:shd w:val="clear" w:color="auto" w:fill="auto"/>
          </w:tcPr>
          <w:p w14:paraId="45147469"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85</w:t>
            </w:r>
          </w:p>
        </w:tc>
        <w:tc>
          <w:tcPr>
            <w:tcW w:w="791" w:type="dxa"/>
            <w:tcBorders>
              <w:top w:val="nil"/>
            </w:tcBorders>
            <w:shd w:val="clear" w:color="auto" w:fill="auto"/>
          </w:tcPr>
          <w:p w14:paraId="3CC2B796"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50</w:t>
            </w:r>
          </w:p>
        </w:tc>
        <w:tc>
          <w:tcPr>
            <w:tcW w:w="792" w:type="dxa"/>
            <w:tcBorders>
              <w:top w:val="nil"/>
            </w:tcBorders>
          </w:tcPr>
          <w:p w14:paraId="1509CE5C"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70</w:t>
            </w:r>
          </w:p>
        </w:tc>
      </w:tr>
      <w:tr w:rsidR="00B906DC" w:rsidRPr="00F74455" w14:paraId="3F93B6E2" w14:textId="77777777" w:rsidTr="00B906DC">
        <w:tc>
          <w:tcPr>
            <w:tcW w:w="2742" w:type="dxa"/>
            <w:shd w:val="clear" w:color="auto" w:fill="auto"/>
          </w:tcPr>
          <w:p w14:paraId="5871B708" w14:textId="77777777" w:rsidR="00B906DC" w:rsidRPr="00953F21" w:rsidRDefault="00B906DC" w:rsidP="009E67EF">
            <w:pPr>
              <w:adjustRightInd w:val="0"/>
              <w:snapToGrid w:val="0"/>
              <w:spacing w:beforeLines="40" w:before="96" w:afterLines="40" w:after="96"/>
              <w:ind w:right="-113"/>
              <w:rPr>
                <w:color w:val="000000"/>
                <w:sz w:val="22"/>
                <w:szCs w:val="22"/>
              </w:rPr>
            </w:pPr>
            <w:r w:rsidRPr="00953F21">
              <w:rPr>
                <w:color w:val="000000"/>
                <w:sz w:val="22"/>
                <w:szCs w:val="22"/>
                <w:lang w:val="en-AU"/>
              </w:rPr>
              <w:t>Fluency percentile</w:t>
            </w:r>
          </w:p>
        </w:tc>
        <w:tc>
          <w:tcPr>
            <w:tcW w:w="791" w:type="dxa"/>
            <w:shd w:val="clear" w:color="auto" w:fill="auto"/>
          </w:tcPr>
          <w:p w14:paraId="1D879DA0"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60</w:t>
            </w:r>
          </w:p>
        </w:tc>
        <w:tc>
          <w:tcPr>
            <w:tcW w:w="791" w:type="dxa"/>
            <w:shd w:val="clear" w:color="auto" w:fill="auto"/>
          </w:tcPr>
          <w:p w14:paraId="76B6D64B"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12</w:t>
            </w:r>
          </w:p>
        </w:tc>
        <w:tc>
          <w:tcPr>
            <w:tcW w:w="791" w:type="dxa"/>
            <w:shd w:val="clear" w:color="auto" w:fill="auto"/>
          </w:tcPr>
          <w:p w14:paraId="5F47ECE9"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23</w:t>
            </w:r>
          </w:p>
        </w:tc>
        <w:tc>
          <w:tcPr>
            <w:tcW w:w="792" w:type="dxa"/>
            <w:shd w:val="clear" w:color="auto" w:fill="auto"/>
          </w:tcPr>
          <w:p w14:paraId="6558959D"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15</w:t>
            </w:r>
          </w:p>
        </w:tc>
        <w:tc>
          <w:tcPr>
            <w:tcW w:w="791" w:type="dxa"/>
          </w:tcPr>
          <w:p w14:paraId="0637BEC4" w14:textId="66E35925" w:rsidR="00B906DC" w:rsidRPr="00F74455" w:rsidRDefault="00B906DC" w:rsidP="009E67EF">
            <w:pPr>
              <w:adjustRightInd w:val="0"/>
              <w:snapToGrid w:val="0"/>
              <w:spacing w:beforeLines="40" w:before="96" w:afterLines="40" w:after="96"/>
              <w:jc w:val="center"/>
              <w:rPr>
                <w:color w:val="000000"/>
                <w:sz w:val="22"/>
                <w:szCs w:val="22"/>
                <w:lang w:val="en-AU"/>
              </w:rPr>
            </w:pPr>
            <w:r>
              <w:rPr>
                <w:color w:val="000000"/>
                <w:sz w:val="22"/>
                <w:szCs w:val="22"/>
                <w:lang w:val="en-AU"/>
              </w:rPr>
              <w:t>25</w:t>
            </w:r>
          </w:p>
        </w:tc>
        <w:tc>
          <w:tcPr>
            <w:tcW w:w="791" w:type="dxa"/>
            <w:shd w:val="clear" w:color="auto" w:fill="auto"/>
          </w:tcPr>
          <w:p w14:paraId="12708240" w14:textId="39AB931E"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93</w:t>
            </w:r>
          </w:p>
        </w:tc>
        <w:tc>
          <w:tcPr>
            <w:tcW w:w="791" w:type="dxa"/>
            <w:shd w:val="clear" w:color="auto" w:fill="auto"/>
          </w:tcPr>
          <w:p w14:paraId="01419F68"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100</w:t>
            </w:r>
          </w:p>
        </w:tc>
        <w:tc>
          <w:tcPr>
            <w:tcW w:w="791" w:type="dxa"/>
            <w:shd w:val="clear" w:color="auto" w:fill="auto"/>
          </w:tcPr>
          <w:p w14:paraId="4D8CF734"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88</w:t>
            </w:r>
          </w:p>
        </w:tc>
        <w:tc>
          <w:tcPr>
            <w:tcW w:w="792" w:type="dxa"/>
          </w:tcPr>
          <w:p w14:paraId="33F455FE"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100</w:t>
            </w:r>
          </w:p>
        </w:tc>
      </w:tr>
      <w:tr w:rsidR="00B906DC" w:rsidRPr="00F74455" w14:paraId="361E4113" w14:textId="77777777" w:rsidTr="00B906DC">
        <w:tc>
          <w:tcPr>
            <w:tcW w:w="2742" w:type="dxa"/>
            <w:shd w:val="clear" w:color="auto" w:fill="auto"/>
          </w:tcPr>
          <w:p w14:paraId="20DBCC21" w14:textId="77777777" w:rsidR="00B906DC" w:rsidRPr="00953F21" w:rsidRDefault="00B906DC" w:rsidP="009E67EF">
            <w:pPr>
              <w:adjustRightInd w:val="0"/>
              <w:snapToGrid w:val="0"/>
              <w:spacing w:beforeLines="40" w:before="96" w:afterLines="40" w:after="96"/>
              <w:ind w:right="-113"/>
              <w:rPr>
                <w:color w:val="000000"/>
                <w:sz w:val="22"/>
                <w:szCs w:val="22"/>
                <w:lang w:val="en-AU" w:eastAsia="en-US"/>
              </w:rPr>
            </w:pPr>
            <w:r w:rsidRPr="00953F21">
              <w:rPr>
                <w:color w:val="000000"/>
                <w:sz w:val="22"/>
                <w:szCs w:val="22"/>
                <w:lang w:val="en-AU"/>
              </w:rPr>
              <w:t>Boston Naming Test (/60)</w:t>
            </w:r>
          </w:p>
        </w:tc>
        <w:tc>
          <w:tcPr>
            <w:tcW w:w="791" w:type="dxa"/>
            <w:shd w:val="clear" w:color="auto" w:fill="auto"/>
          </w:tcPr>
          <w:p w14:paraId="2B32C12A"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41</w:t>
            </w:r>
          </w:p>
        </w:tc>
        <w:tc>
          <w:tcPr>
            <w:tcW w:w="791" w:type="dxa"/>
            <w:shd w:val="clear" w:color="auto" w:fill="auto"/>
          </w:tcPr>
          <w:p w14:paraId="5529446B"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53</w:t>
            </w:r>
          </w:p>
        </w:tc>
        <w:tc>
          <w:tcPr>
            <w:tcW w:w="791" w:type="dxa"/>
            <w:shd w:val="clear" w:color="auto" w:fill="auto"/>
          </w:tcPr>
          <w:p w14:paraId="2B32A6BF"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46</w:t>
            </w:r>
          </w:p>
        </w:tc>
        <w:tc>
          <w:tcPr>
            <w:tcW w:w="792" w:type="dxa"/>
            <w:shd w:val="clear" w:color="auto" w:fill="auto"/>
          </w:tcPr>
          <w:p w14:paraId="5133BA1D"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46</w:t>
            </w:r>
          </w:p>
        </w:tc>
        <w:tc>
          <w:tcPr>
            <w:tcW w:w="791" w:type="dxa"/>
          </w:tcPr>
          <w:p w14:paraId="59F1F333" w14:textId="38D3F5F6" w:rsidR="00B906DC" w:rsidRPr="00F74455" w:rsidRDefault="00B906DC" w:rsidP="009E67EF">
            <w:pPr>
              <w:adjustRightInd w:val="0"/>
              <w:snapToGrid w:val="0"/>
              <w:spacing w:beforeLines="40" w:before="96" w:afterLines="40" w:after="96"/>
              <w:jc w:val="center"/>
              <w:rPr>
                <w:color w:val="000000"/>
                <w:sz w:val="22"/>
                <w:szCs w:val="22"/>
                <w:lang w:val="en-AU"/>
              </w:rPr>
            </w:pPr>
            <w:r>
              <w:rPr>
                <w:color w:val="000000"/>
                <w:sz w:val="22"/>
                <w:szCs w:val="22"/>
                <w:lang w:val="en-AU"/>
              </w:rPr>
              <w:t>38</w:t>
            </w:r>
          </w:p>
        </w:tc>
        <w:tc>
          <w:tcPr>
            <w:tcW w:w="791" w:type="dxa"/>
            <w:shd w:val="clear" w:color="auto" w:fill="auto"/>
          </w:tcPr>
          <w:p w14:paraId="4877C460" w14:textId="3CF68FA8"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32</w:t>
            </w:r>
          </w:p>
        </w:tc>
        <w:tc>
          <w:tcPr>
            <w:tcW w:w="791" w:type="dxa"/>
            <w:shd w:val="clear" w:color="auto" w:fill="auto"/>
          </w:tcPr>
          <w:p w14:paraId="35B5688C"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53</w:t>
            </w:r>
          </w:p>
        </w:tc>
        <w:tc>
          <w:tcPr>
            <w:tcW w:w="791" w:type="dxa"/>
            <w:shd w:val="clear" w:color="auto" w:fill="auto"/>
          </w:tcPr>
          <w:p w14:paraId="0B789C41"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37</w:t>
            </w:r>
          </w:p>
        </w:tc>
        <w:tc>
          <w:tcPr>
            <w:tcW w:w="792" w:type="dxa"/>
          </w:tcPr>
          <w:p w14:paraId="2D0F117A" w14:textId="77777777" w:rsidR="00B906DC" w:rsidRPr="00F74455" w:rsidRDefault="00B906DC" w:rsidP="009E67EF">
            <w:pPr>
              <w:adjustRightInd w:val="0"/>
              <w:snapToGrid w:val="0"/>
              <w:spacing w:beforeLines="40" w:before="96" w:afterLines="40" w:after="96"/>
              <w:jc w:val="center"/>
              <w:rPr>
                <w:color w:val="000000"/>
                <w:sz w:val="22"/>
                <w:szCs w:val="22"/>
              </w:rPr>
            </w:pPr>
            <w:r w:rsidRPr="00F74455">
              <w:rPr>
                <w:color w:val="000000"/>
                <w:sz w:val="22"/>
                <w:szCs w:val="22"/>
                <w:lang w:val="en-AU"/>
              </w:rPr>
              <w:t>40</w:t>
            </w:r>
          </w:p>
        </w:tc>
      </w:tr>
      <w:tr w:rsidR="00B906DC" w:rsidRPr="00F74455" w14:paraId="43A6D32B" w14:textId="77777777" w:rsidTr="00B906DC">
        <w:tc>
          <w:tcPr>
            <w:tcW w:w="2742" w:type="dxa"/>
            <w:tcBorders>
              <w:bottom w:val="single" w:sz="4" w:space="0" w:color="auto"/>
            </w:tcBorders>
            <w:shd w:val="clear" w:color="auto" w:fill="auto"/>
          </w:tcPr>
          <w:p w14:paraId="41B341E1" w14:textId="77777777" w:rsidR="00B906DC" w:rsidRPr="00953F21" w:rsidRDefault="00B906DC" w:rsidP="009E67EF">
            <w:pPr>
              <w:spacing w:beforeLines="40" w:before="96" w:afterLines="40" w:after="96"/>
              <w:rPr>
                <w:color w:val="000000"/>
                <w:sz w:val="22"/>
                <w:szCs w:val="22"/>
              </w:rPr>
            </w:pPr>
            <w:r w:rsidRPr="00953F21">
              <w:rPr>
                <w:color w:val="000000"/>
                <w:sz w:val="22"/>
                <w:szCs w:val="22"/>
                <w:lang w:val="en-AU"/>
              </w:rPr>
              <w:t>Aphasia Diagnosis</w:t>
            </w:r>
          </w:p>
        </w:tc>
        <w:tc>
          <w:tcPr>
            <w:tcW w:w="791" w:type="dxa"/>
            <w:tcBorders>
              <w:bottom w:val="single" w:sz="4" w:space="0" w:color="auto"/>
            </w:tcBorders>
            <w:shd w:val="clear" w:color="auto" w:fill="auto"/>
          </w:tcPr>
          <w:p w14:paraId="14F335A0" w14:textId="77777777" w:rsidR="00B906DC" w:rsidRPr="00F74455" w:rsidRDefault="00B906DC" w:rsidP="009E67EF">
            <w:pPr>
              <w:spacing w:beforeLines="40" w:before="96" w:afterLines="40" w:after="96"/>
              <w:jc w:val="center"/>
              <w:rPr>
                <w:color w:val="000000"/>
                <w:sz w:val="22"/>
                <w:szCs w:val="22"/>
              </w:rPr>
            </w:pPr>
            <w:r>
              <w:rPr>
                <w:color w:val="000000"/>
                <w:sz w:val="22"/>
                <w:szCs w:val="22"/>
                <w:lang w:val="en-AU"/>
              </w:rPr>
              <w:t>BA</w:t>
            </w:r>
          </w:p>
        </w:tc>
        <w:tc>
          <w:tcPr>
            <w:tcW w:w="791" w:type="dxa"/>
            <w:tcBorders>
              <w:bottom w:val="single" w:sz="4" w:space="0" w:color="auto"/>
            </w:tcBorders>
            <w:shd w:val="clear" w:color="auto" w:fill="auto"/>
          </w:tcPr>
          <w:p w14:paraId="515CE948" w14:textId="77777777" w:rsidR="00B906DC" w:rsidRPr="00F74455" w:rsidRDefault="00B906DC" w:rsidP="009E67EF">
            <w:pPr>
              <w:spacing w:beforeLines="40" w:before="96" w:afterLines="40" w:after="96"/>
              <w:jc w:val="center"/>
              <w:rPr>
                <w:color w:val="000000"/>
                <w:sz w:val="22"/>
                <w:szCs w:val="22"/>
              </w:rPr>
            </w:pPr>
            <w:r>
              <w:rPr>
                <w:color w:val="000000"/>
                <w:sz w:val="22"/>
                <w:szCs w:val="22"/>
                <w:lang w:val="en-AU"/>
              </w:rPr>
              <w:t>BA</w:t>
            </w:r>
          </w:p>
        </w:tc>
        <w:tc>
          <w:tcPr>
            <w:tcW w:w="791" w:type="dxa"/>
            <w:tcBorders>
              <w:bottom w:val="single" w:sz="4" w:space="0" w:color="auto"/>
            </w:tcBorders>
            <w:shd w:val="clear" w:color="auto" w:fill="auto"/>
          </w:tcPr>
          <w:p w14:paraId="746E44CC" w14:textId="77777777" w:rsidR="00B906DC" w:rsidRPr="00F74455" w:rsidRDefault="00B906DC" w:rsidP="009E67EF">
            <w:pPr>
              <w:spacing w:beforeLines="40" w:before="96" w:afterLines="40" w:after="96"/>
              <w:jc w:val="center"/>
              <w:rPr>
                <w:color w:val="000000"/>
                <w:sz w:val="22"/>
                <w:szCs w:val="22"/>
              </w:rPr>
            </w:pPr>
            <w:r>
              <w:rPr>
                <w:color w:val="000000"/>
                <w:sz w:val="22"/>
                <w:szCs w:val="22"/>
                <w:lang w:val="en-AU"/>
              </w:rPr>
              <w:t>BA</w:t>
            </w:r>
          </w:p>
        </w:tc>
        <w:tc>
          <w:tcPr>
            <w:tcW w:w="792" w:type="dxa"/>
            <w:tcBorders>
              <w:bottom w:val="single" w:sz="4" w:space="0" w:color="auto"/>
            </w:tcBorders>
            <w:shd w:val="clear" w:color="auto" w:fill="auto"/>
          </w:tcPr>
          <w:p w14:paraId="4552378D" w14:textId="77777777" w:rsidR="00B906DC" w:rsidRPr="00F74455" w:rsidRDefault="00B906DC" w:rsidP="009E67EF">
            <w:pPr>
              <w:spacing w:beforeLines="40" w:before="96" w:afterLines="40" w:after="96"/>
              <w:jc w:val="center"/>
              <w:rPr>
                <w:color w:val="000000"/>
                <w:sz w:val="22"/>
                <w:szCs w:val="22"/>
              </w:rPr>
            </w:pPr>
            <w:r>
              <w:rPr>
                <w:color w:val="000000"/>
                <w:sz w:val="22"/>
                <w:szCs w:val="22"/>
                <w:lang w:val="en-AU"/>
              </w:rPr>
              <w:t>BA</w:t>
            </w:r>
          </w:p>
        </w:tc>
        <w:tc>
          <w:tcPr>
            <w:tcW w:w="791" w:type="dxa"/>
            <w:tcBorders>
              <w:bottom w:val="single" w:sz="4" w:space="0" w:color="auto"/>
            </w:tcBorders>
          </w:tcPr>
          <w:p w14:paraId="2FDF26EB" w14:textId="4033769A" w:rsidR="00B906DC" w:rsidRDefault="00B906DC" w:rsidP="009E67EF">
            <w:pPr>
              <w:adjustRightInd w:val="0"/>
              <w:spacing w:beforeLines="40" w:before="96" w:afterLines="40" w:after="96"/>
              <w:ind w:left="-57" w:right="-57"/>
              <w:jc w:val="center"/>
              <w:rPr>
                <w:color w:val="000000"/>
                <w:sz w:val="22"/>
                <w:szCs w:val="22"/>
                <w:lang w:val="en-AU"/>
              </w:rPr>
            </w:pPr>
            <w:r>
              <w:rPr>
                <w:color w:val="000000"/>
                <w:sz w:val="22"/>
                <w:szCs w:val="22"/>
                <w:lang w:val="en-AU"/>
              </w:rPr>
              <w:t>BA</w:t>
            </w:r>
          </w:p>
        </w:tc>
        <w:tc>
          <w:tcPr>
            <w:tcW w:w="791" w:type="dxa"/>
            <w:tcBorders>
              <w:bottom w:val="single" w:sz="4" w:space="0" w:color="auto"/>
            </w:tcBorders>
            <w:shd w:val="clear" w:color="auto" w:fill="auto"/>
          </w:tcPr>
          <w:p w14:paraId="7E29F65C" w14:textId="646272E8" w:rsidR="00B906DC" w:rsidRPr="00F74455" w:rsidRDefault="00B906DC" w:rsidP="009E67EF">
            <w:pPr>
              <w:adjustRightInd w:val="0"/>
              <w:spacing w:beforeLines="40" w:before="96" w:afterLines="40" w:after="96"/>
              <w:ind w:left="-57" w:right="-57"/>
              <w:jc w:val="center"/>
              <w:rPr>
                <w:color w:val="000000"/>
                <w:sz w:val="22"/>
                <w:szCs w:val="22"/>
              </w:rPr>
            </w:pPr>
            <w:r>
              <w:rPr>
                <w:color w:val="000000"/>
                <w:sz w:val="22"/>
                <w:szCs w:val="22"/>
                <w:lang w:val="en-AU"/>
              </w:rPr>
              <w:t>AA</w:t>
            </w:r>
          </w:p>
        </w:tc>
        <w:tc>
          <w:tcPr>
            <w:tcW w:w="791" w:type="dxa"/>
            <w:tcBorders>
              <w:bottom w:val="single" w:sz="4" w:space="0" w:color="auto"/>
            </w:tcBorders>
            <w:shd w:val="clear" w:color="auto" w:fill="auto"/>
          </w:tcPr>
          <w:p w14:paraId="2ADD14F8" w14:textId="77777777" w:rsidR="00B906DC" w:rsidRPr="00F74455" w:rsidRDefault="00B906DC" w:rsidP="009E67EF">
            <w:pPr>
              <w:spacing w:beforeLines="40" w:before="96" w:afterLines="40" w:after="96"/>
              <w:jc w:val="center"/>
              <w:rPr>
                <w:color w:val="000000"/>
                <w:sz w:val="22"/>
                <w:szCs w:val="22"/>
              </w:rPr>
            </w:pPr>
            <w:r>
              <w:rPr>
                <w:color w:val="000000"/>
                <w:sz w:val="22"/>
                <w:szCs w:val="22"/>
                <w:lang w:val="en-AU"/>
              </w:rPr>
              <w:t>AA</w:t>
            </w:r>
          </w:p>
        </w:tc>
        <w:tc>
          <w:tcPr>
            <w:tcW w:w="791" w:type="dxa"/>
            <w:tcBorders>
              <w:bottom w:val="single" w:sz="4" w:space="0" w:color="auto"/>
            </w:tcBorders>
            <w:shd w:val="clear" w:color="auto" w:fill="auto"/>
          </w:tcPr>
          <w:p w14:paraId="7E7A3725" w14:textId="77777777" w:rsidR="00B906DC" w:rsidRPr="00F74455" w:rsidRDefault="00B906DC" w:rsidP="009E67EF">
            <w:pPr>
              <w:spacing w:beforeLines="40" w:before="96" w:afterLines="40" w:after="96"/>
              <w:ind w:left="-111" w:right="-111"/>
              <w:jc w:val="center"/>
              <w:rPr>
                <w:color w:val="000000"/>
                <w:sz w:val="22"/>
                <w:szCs w:val="22"/>
              </w:rPr>
            </w:pPr>
            <w:r>
              <w:rPr>
                <w:color w:val="000000"/>
                <w:sz w:val="22"/>
                <w:szCs w:val="22"/>
                <w:lang w:val="en-AU"/>
              </w:rPr>
              <w:t>WA</w:t>
            </w:r>
          </w:p>
        </w:tc>
        <w:tc>
          <w:tcPr>
            <w:tcW w:w="792" w:type="dxa"/>
            <w:tcBorders>
              <w:bottom w:val="single" w:sz="4" w:space="0" w:color="auto"/>
            </w:tcBorders>
          </w:tcPr>
          <w:p w14:paraId="31A28A77" w14:textId="77777777" w:rsidR="00B906DC" w:rsidRPr="00F74455" w:rsidRDefault="00B906DC" w:rsidP="009E67EF">
            <w:pPr>
              <w:spacing w:beforeLines="40" w:before="96" w:afterLines="40" w:after="96"/>
              <w:jc w:val="center"/>
              <w:rPr>
                <w:color w:val="000000"/>
                <w:sz w:val="22"/>
                <w:szCs w:val="22"/>
              </w:rPr>
            </w:pPr>
            <w:r>
              <w:rPr>
                <w:color w:val="000000"/>
                <w:sz w:val="22"/>
                <w:szCs w:val="22"/>
                <w:lang w:val="en-AU"/>
              </w:rPr>
              <w:t>CA</w:t>
            </w:r>
          </w:p>
        </w:tc>
      </w:tr>
      <w:tr w:rsidR="00B906DC" w:rsidRPr="00F74455" w14:paraId="024A92F3" w14:textId="77777777" w:rsidTr="00D51424">
        <w:tc>
          <w:tcPr>
            <w:tcW w:w="9863" w:type="dxa"/>
            <w:gridSpan w:val="10"/>
            <w:tcBorders>
              <w:top w:val="single" w:sz="4" w:space="0" w:color="auto"/>
              <w:bottom w:val="nil"/>
            </w:tcBorders>
          </w:tcPr>
          <w:p w14:paraId="71FFED96" w14:textId="556A84D7" w:rsidR="00B906DC" w:rsidRPr="00953F21" w:rsidRDefault="00042D59" w:rsidP="009E67EF">
            <w:pPr>
              <w:adjustRightInd w:val="0"/>
              <w:snapToGrid w:val="0"/>
              <w:spacing w:beforeLines="40" w:before="96" w:afterLines="40" w:after="96"/>
              <w:rPr>
                <w:rFonts w:ascii="Times" w:hAnsi="Times"/>
                <w:color w:val="000000"/>
                <w:sz w:val="22"/>
                <w:szCs w:val="22"/>
                <w:lang w:val="en-AU"/>
              </w:rPr>
            </w:pPr>
            <w:r>
              <w:rPr>
                <w:b/>
                <w:bCs/>
                <w:color w:val="000000"/>
                <w:sz w:val="22"/>
                <w:szCs w:val="22"/>
                <w:lang w:val="en-AU"/>
              </w:rPr>
              <w:t>Narrative speech (</w:t>
            </w:r>
            <w:r w:rsidR="00B906DC" w:rsidRPr="00953F21">
              <w:rPr>
                <w:b/>
                <w:bCs/>
                <w:color w:val="000000"/>
                <w:sz w:val="22"/>
                <w:szCs w:val="22"/>
                <w:lang w:val="en-AU"/>
              </w:rPr>
              <w:t>QPA</w:t>
            </w:r>
            <w:r>
              <w:rPr>
                <w:b/>
                <w:bCs/>
                <w:color w:val="000000"/>
                <w:sz w:val="22"/>
                <w:szCs w:val="22"/>
                <w:lang w:val="en-AU"/>
              </w:rPr>
              <w:t>)</w:t>
            </w:r>
            <w:r w:rsidR="00B906DC" w:rsidRPr="00953F21">
              <w:rPr>
                <w:b/>
                <w:bCs/>
                <w:color w:val="000000"/>
                <w:sz w:val="22"/>
                <w:szCs w:val="22"/>
                <w:lang w:val="en-AU"/>
              </w:rPr>
              <w:t xml:space="preserve"> measures</w:t>
            </w:r>
            <w:r w:rsidR="00B906DC" w:rsidRPr="00953F21">
              <w:rPr>
                <w:color w:val="000000"/>
                <w:sz w:val="22"/>
                <w:szCs w:val="22"/>
                <w:lang w:val="en-AU"/>
              </w:rPr>
              <w:t>:</w:t>
            </w:r>
          </w:p>
        </w:tc>
      </w:tr>
      <w:tr w:rsidR="00B906DC" w:rsidRPr="00F74455" w14:paraId="501AA203" w14:textId="77777777" w:rsidTr="00B906DC">
        <w:tc>
          <w:tcPr>
            <w:tcW w:w="2742" w:type="dxa"/>
            <w:tcBorders>
              <w:top w:val="nil"/>
            </w:tcBorders>
            <w:shd w:val="clear" w:color="auto" w:fill="auto"/>
          </w:tcPr>
          <w:p w14:paraId="01F426B5" w14:textId="77777777" w:rsidR="00B906DC" w:rsidRPr="00953F21" w:rsidRDefault="00B906DC" w:rsidP="009E67EF">
            <w:pPr>
              <w:adjustRightInd w:val="0"/>
              <w:snapToGrid w:val="0"/>
              <w:spacing w:beforeLines="40" w:before="96" w:afterLines="40" w:after="96"/>
              <w:ind w:right="-113"/>
              <w:rPr>
                <w:color w:val="000000"/>
                <w:sz w:val="22"/>
                <w:szCs w:val="22"/>
              </w:rPr>
            </w:pPr>
            <w:r w:rsidRPr="00953F21">
              <w:rPr>
                <w:color w:val="000000"/>
                <w:sz w:val="22"/>
                <w:szCs w:val="22"/>
                <w:lang w:val="en-AU"/>
              </w:rPr>
              <w:t>Words per minute</w:t>
            </w:r>
          </w:p>
        </w:tc>
        <w:tc>
          <w:tcPr>
            <w:tcW w:w="791" w:type="dxa"/>
            <w:tcBorders>
              <w:top w:val="nil"/>
            </w:tcBorders>
            <w:shd w:val="clear" w:color="auto" w:fill="auto"/>
          </w:tcPr>
          <w:p w14:paraId="0E7DAA9A"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67</w:t>
            </w:r>
          </w:p>
        </w:tc>
        <w:tc>
          <w:tcPr>
            <w:tcW w:w="791" w:type="dxa"/>
            <w:tcBorders>
              <w:top w:val="nil"/>
            </w:tcBorders>
            <w:shd w:val="clear" w:color="auto" w:fill="auto"/>
          </w:tcPr>
          <w:p w14:paraId="06068CF1"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19</w:t>
            </w:r>
          </w:p>
        </w:tc>
        <w:tc>
          <w:tcPr>
            <w:tcW w:w="791" w:type="dxa"/>
            <w:tcBorders>
              <w:top w:val="nil"/>
            </w:tcBorders>
            <w:shd w:val="clear" w:color="auto" w:fill="auto"/>
          </w:tcPr>
          <w:p w14:paraId="4459B1D7"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69</w:t>
            </w:r>
          </w:p>
        </w:tc>
        <w:tc>
          <w:tcPr>
            <w:tcW w:w="792" w:type="dxa"/>
            <w:tcBorders>
              <w:top w:val="nil"/>
            </w:tcBorders>
            <w:shd w:val="clear" w:color="auto" w:fill="auto"/>
          </w:tcPr>
          <w:p w14:paraId="400866E8"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48</w:t>
            </w:r>
          </w:p>
        </w:tc>
        <w:tc>
          <w:tcPr>
            <w:tcW w:w="791" w:type="dxa"/>
            <w:tcBorders>
              <w:top w:val="nil"/>
            </w:tcBorders>
          </w:tcPr>
          <w:p w14:paraId="6FAD973B" w14:textId="3CC9313E" w:rsidR="00B906DC" w:rsidRPr="0064761B" w:rsidRDefault="00B906DC" w:rsidP="009E67EF">
            <w:pPr>
              <w:adjustRightInd w:val="0"/>
              <w:snapToGrid w:val="0"/>
              <w:spacing w:beforeLines="40" w:before="96" w:afterLines="40" w:after="96"/>
              <w:jc w:val="center"/>
              <w:rPr>
                <w:rFonts w:ascii="Times" w:hAnsi="Times"/>
                <w:color w:val="000000"/>
                <w:sz w:val="22"/>
                <w:szCs w:val="22"/>
                <w:lang w:val="en-AU" w:eastAsia="en-US"/>
              </w:rPr>
            </w:pPr>
            <w:r>
              <w:rPr>
                <w:rFonts w:ascii="Times" w:hAnsi="Times"/>
                <w:color w:val="000000"/>
                <w:sz w:val="22"/>
                <w:szCs w:val="22"/>
                <w:lang w:val="en-AU" w:eastAsia="en-US"/>
              </w:rPr>
              <w:t>22</w:t>
            </w:r>
          </w:p>
        </w:tc>
        <w:tc>
          <w:tcPr>
            <w:tcW w:w="791" w:type="dxa"/>
            <w:tcBorders>
              <w:top w:val="nil"/>
            </w:tcBorders>
            <w:shd w:val="clear" w:color="auto" w:fill="auto"/>
          </w:tcPr>
          <w:p w14:paraId="1D60A5D4" w14:textId="7FF4DC1F"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103</w:t>
            </w:r>
          </w:p>
        </w:tc>
        <w:tc>
          <w:tcPr>
            <w:tcW w:w="791" w:type="dxa"/>
            <w:tcBorders>
              <w:top w:val="nil"/>
            </w:tcBorders>
            <w:shd w:val="clear" w:color="auto" w:fill="auto"/>
          </w:tcPr>
          <w:p w14:paraId="1FC67DCD"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153</w:t>
            </w:r>
          </w:p>
        </w:tc>
        <w:tc>
          <w:tcPr>
            <w:tcW w:w="791" w:type="dxa"/>
            <w:tcBorders>
              <w:top w:val="nil"/>
            </w:tcBorders>
            <w:shd w:val="clear" w:color="auto" w:fill="auto"/>
          </w:tcPr>
          <w:p w14:paraId="1CD4D567"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96</w:t>
            </w:r>
          </w:p>
        </w:tc>
        <w:tc>
          <w:tcPr>
            <w:tcW w:w="792" w:type="dxa"/>
            <w:tcBorders>
              <w:top w:val="nil"/>
            </w:tcBorders>
          </w:tcPr>
          <w:p w14:paraId="2C0B7F2D"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rPr>
              <w:t>126</w:t>
            </w:r>
          </w:p>
        </w:tc>
      </w:tr>
      <w:tr w:rsidR="00B906DC" w:rsidRPr="00F74455" w14:paraId="60CA125D" w14:textId="77777777" w:rsidTr="00B906DC">
        <w:tc>
          <w:tcPr>
            <w:tcW w:w="2742" w:type="dxa"/>
            <w:shd w:val="clear" w:color="auto" w:fill="auto"/>
          </w:tcPr>
          <w:p w14:paraId="28C61D91" w14:textId="77777777" w:rsidR="00B906DC" w:rsidRPr="00953F21" w:rsidRDefault="00B906DC" w:rsidP="009E67EF">
            <w:pPr>
              <w:adjustRightInd w:val="0"/>
              <w:snapToGrid w:val="0"/>
              <w:spacing w:beforeLines="40" w:before="96" w:afterLines="40" w:after="96"/>
              <w:ind w:right="-113"/>
              <w:rPr>
                <w:color w:val="000000"/>
                <w:sz w:val="22"/>
                <w:szCs w:val="22"/>
              </w:rPr>
            </w:pPr>
            <w:r w:rsidRPr="00953F21">
              <w:rPr>
                <w:color w:val="000000"/>
                <w:sz w:val="22"/>
                <w:szCs w:val="22"/>
                <w:lang w:val="en-AU"/>
              </w:rPr>
              <w:t>Proportion closed class items</w:t>
            </w:r>
          </w:p>
        </w:tc>
        <w:tc>
          <w:tcPr>
            <w:tcW w:w="791" w:type="dxa"/>
            <w:shd w:val="clear" w:color="auto" w:fill="auto"/>
          </w:tcPr>
          <w:p w14:paraId="5368FA4C"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0.64</w:t>
            </w:r>
          </w:p>
        </w:tc>
        <w:tc>
          <w:tcPr>
            <w:tcW w:w="791" w:type="dxa"/>
            <w:shd w:val="clear" w:color="auto" w:fill="auto"/>
          </w:tcPr>
          <w:p w14:paraId="7D571F68"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0.40</w:t>
            </w:r>
          </w:p>
        </w:tc>
        <w:tc>
          <w:tcPr>
            <w:tcW w:w="791" w:type="dxa"/>
            <w:shd w:val="clear" w:color="auto" w:fill="auto"/>
          </w:tcPr>
          <w:p w14:paraId="125CC4E8"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0.47</w:t>
            </w:r>
          </w:p>
        </w:tc>
        <w:tc>
          <w:tcPr>
            <w:tcW w:w="792" w:type="dxa"/>
            <w:shd w:val="clear" w:color="auto" w:fill="auto"/>
          </w:tcPr>
          <w:p w14:paraId="0BFAAFF5"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0.37</w:t>
            </w:r>
          </w:p>
        </w:tc>
        <w:tc>
          <w:tcPr>
            <w:tcW w:w="791" w:type="dxa"/>
          </w:tcPr>
          <w:p w14:paraId="21990307" w14:textId="05F81737" w:rsidR="00B906DC" w:rsidRPr="0064761B" w:rsidRDefault="00B906DC" w:rsidP="009E67EF">
            <w:pPr>
              <w:adjustRightInd w:val="0"/>
              <w:snapToGrid w:val="0"/>
              <w:spacing w:beforeLines="40" w:before="96" w:afterLines="40" w:after="96"/>
              <w:jc w:val="center"/>
              <w:rPr>
                <w:rFonts w:ascii="Times" w:hAnsi="Times"/>
                <w:color w:val="000000"/>
                <w:sz w:val="22"/>
                <w:szCs w:val="22"/>
                <w:lang w:val="en-AU" w:eastAsia="en-US"/>
              </w:rPr>
            </w:pPr>
            <w:r>
              <w:rPr>
                <w:rFonts w:ascii="Times" w:hAnsi="Times"/>
                <w:color w:val="000000"/>
                <w:sz w:val="22"/>
                <w:szCs w:val="22"/>
                <w:lang w:val="en-AU" w:eastAsia="en-US"/>
              </w:rPr>
              <w:t>0.31</w:t>
            </w:r>
          </w:p>
        </w:tc>
        <w:tc>
          <w:tcPr>
            <w:tcW w:w="791" w:type="dxa"/>
            <w:shd w:val="clear" w:color="auto" w:fill="auto"/>
          </w:tcPr>
          <w:p w14:paraId="2B3CFBE8" w14:textId="15420A7C"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0.58</w:t>
            </w:r>
          </w:p>
        </w:tc>
        <w:tc>
          <w:tcPr>
            <w:tcW w:w="791" w:type="dxa"/>
            <w:shd w:val="clear" w:color="auto" w:fill="auto"/>
          </w:tcPr>
          <w:p w14:paraId="5D98CC12"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0.61</w:t>
            </w:r>
          </w:p>
        </w:tc>
        <w:tc>
          <w:tcPr>
            <w:tcW w:w="791" w:type="dxa"/>
            <w:shd w:val="clear" w:color="auto" w:fill="auto"/>
          </w:tcPr>
          <w:p w14:paraId="49D9B1BE"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eastAsia="en-US"/>
              </w:rPr>
              <w:t>0.54</w:t>
            </w:r>
          </w:p>
        </w:tc>
        <w:tc>
          <w:tcPr>
            <w:tcW w:w="792" w:type="dxa"/>
          </w:tcPr>
          <w:p w14:paraId="3F84B2BF" w14:textId="77777777" w:rsidR="00B906DC" w:rsidRPr="00F74455" w:rsidRDefault="00B906DC" w:rsidP="009E67EF">
            <w:pPr>
              <w:adjustRightInd w:val="0"/>
              <w:snapToGrid w:val="0"/>
              <w:spacing w:beforeLines="40" w:before="96" w:afterLines="40" w:after="96"/>
              <w:jc w:val="center"/>
              <w:rPr>
                <w:color w:val="000000"/>
                <w:sz w:val="22"/>
                <w:szCs w:val="22"/>
              </w:rPr>
            </w:pPr>
            <w:r w:rsidRPr="0064761B">
              <w:rPr>
                <w:rFonts w:ascii="Times" w:hAnsi="Times"/>
                <w:color w:val="000000"/>
                <w:sz w:val="22"/>
                <w:szCs w:val="22"/>
                <w:lang w:val="en-AU"/>
              </w:rPr>
              <w:t>0.66</w:t>
            </w:r>
          </w:p>
        </w:tc>
      </w:tr>
      <w:tr w:rsidR="0043731F" w:rsidRPr="00F74455" w14:paraId="326A81F6" w14:textId="77777777" w:rsidTr="004E354A">
        <w:tc>
          <w:tcPr>
            <w:tcW w:w="9863" w:type="dxa"/>
            <w:gridSpan w:val="10"/>
            <w:tcBorders>
              <w:top w:val="single" w:sz="4" w:space="0" w:color="auto"/>
              <w:bottom w:val="nil"/>
            </w:tcBorders>
            <w:shd w:val="clear" w:color="auto" w:fill="auto"/>
          </w:tcPr>
          <w:p w14:paraId="65636D71" w14:textId="2A17DECC" w:rsidR="0043731F" w:rsidRPr="0064761B" w:rsidRDefault="0043731F" w:rsidP="004E354A">
            <w:pPr>
              <w:adjustRightInd w:val="0"/>
              <w:snapToGrid w:val="0"/>
              <w:spacing w:beforeLines="40" w:before="96" w:afterLines="40" w:after="96"/>
              <w:rPr>
                <w:rFonts w:ascii="Times" w:hAnsi="Times"/>
                <w:b/>
                <w:bCs/>
                <w:color w:val="000000"/>
                <w:sz w:val="22"/>
                <w:szCs w:val="22"/>
                <w:lang w:val="en-AU"/>
              </w:rPr>
            </w:pPr>
            <w:r>
              <w:rPr>
                <w:b/>
                <w:bCs/>
                <w:color w:val="000000"/>
                <w:sz w:val="22"/>
                <w:szCs w:val="22"/>
                <w:lang w:val="en-AU" w:eastAsia="en-US"/>
              </w:rPr>
              <w:t>Sentence</w:t>
            </w:r>
            <w:r w:rsidRPr="00F74455">
              <w:rPr>
                <w:b/>
                <w:bCs/>
                <w:color w:val="000000"/>
                <w:sz w:val="22"/>
                <w:szCs w:val="22"/>
                <w:lang w:val="en-AU" w:eastAsia="en-US"/>
              </w:rPr>
              <w:t xml:space="preserve"> </w:t>
            </w:r>
            <w:r>
              <w:rPr>
                <w:b/>
                <w:bCs/>
                <w:color w:val="000000"/>
                <w:sz w:val="22"/>
                <w:szCs w:val="22"/>
                <w:lang w:val="en-AU" w:eastAsia="en-US"/>
              </w:rPr>
              <w:t>m</w:t>
            </w:r>
            <w:r w:rsidRPr="00F74455">
              <w:rPr>
                <w:b/>
                <w:bCs/>
                <w:color w:val="000000"/>
                <w:sz w:val="22"/>
                <w:szCs w:val="22"/>
                <w:lang w:val="en-AU" w:eastAsia="en-US"/>
              </w:rPr>
              <w:t>easures</w:t>
            </w:r>
            <w:r>
              <w:rPr>
                <w:b/>
                <w:bCs/>
                <w:color w:val="000000"/>
                <w:sz w:val="22"/>
                <w:szCs w:val="22"/>
                <w:lang w:val="en-AU" w:eastAsia="en-US"/>
              </w:rPr>
              <w:t xml:space="preserve"> (from Speer &amp;Wilshire, 2013)</w:t>
            </w:r>
          </w:p>
        </w:tc>
      </w:tr>
      <w:tr w:rsidR="0043731F" w:rsidRPr="00F74455" w14:paraId="32F79919" w14:textId="77777777" w:rsidTr="004E354A">
        <w:tc>
          <w:tcPr>
            <w:tcW w:w="2742" w:type="dxa"/>
            <w:tcBorders>
              <w:top w:val="nil"/>
            </w:tcBorders>
            <w:shd w:val="clear" w:color="auto" w:fill="auto"/>
            <w:vAlign w:val="center"/>
          </w:tcPr>
          <w:p w14:paraId="3B088226" w14:textId="77777777" w:rsidR="0043731F" w:rsidRPr="00F74455" w:rsidRDefault="0043731F" w:rsidP="004E354A">
            <w:pPr>
              <w:spacing w:beforeLines="40" w:before="96" w:afterLines="40" w:after="96"/>
              <w:rPr>
                <w:color w:val="000000"/>
                <w:sz w:val="22"/>
                <w:szCs w:val="22"/>
              </w:rPr>
            </w:pPr>
            <w:r>
              <w:rPr>
                <w:color w:val="000000"/>
                <w:sz w:val="22"/>
                <w:szCs w:val="22"/>
              </w:rPr>
              <w:t>Sentence context effect</w:t>
            </w:r>
          </w:p>
        </w:tc>
        <w:tc>
          <w:tcPr>
            <w:tcW w:w="791" w:type="dxa"/>
            <w:tcBorders>
              <w:top w:val="nil"/>
            </w:tcBorders>
            <w:shd w:val="clear" w:color="auto" w:fill="auto"/>
            <w:vAlign w:val="bottom"/>
          </w:tcPr>
          <w:p w14:paraId="5075C618"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-5.73</w:t>
            </w:r>
          </w:p>
        </w:tc>
        <w:tc>
          <w:tcPr>
            <w:tcW w:w="791" w:type="dxa"/>
            <w:tcBorders>
              <w:top w:val="nil"/>
            </w:tcBorders>
            <w:shd w:val="clear" w:color="auto" w:fill="auto"/>
            <w:vAlign w:val="bottom"/>
          </w:tcPr>
          <w:p w14:paraId="513D5BD6"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-6.25</w:t>
            </w:r>
          </w:p>
        </w:tc>
        <w:tc>
          <w:tcPr>
            <w:tcW w:w="791" w:type="dxa"/>
            <w:tcBorders>
              <w:top w:val="nil"/>
            </w:tcBorders>
            <w:shd w:val="clear" w:color="auto" w:fill="auto"/>
            <w:vAlign w:val="bottom"/>
          </w:tcPr>
          <w:p w14:paraId="39F907C5" w14:textId="77777777" w:rsidR="0043731F" w:rsidRPr="0064761B" w:rsidRDefault="0043731F" w:rsidP="004E354A">
            <w:pPr>
              <w:spacing w:beforeLines="40" w:before="96" w:afterLines="40" w:after="96"/>
              <w:ind w:left="-57"/>
              <w:jc w:val="center"/>
              <w:rPr>
                <w:rFonts w:ascii="Times" w:hAnsi="Times"/>
                <w:color w:val="000000"/>
                <w:sz w:val="22"/>
                <w:szCs w:val="22"/>
              </w:rPr>
            </w:pPr>
            <w:r w:rsidRPr="0064761B">
              <w:rPr>
                <w:rFonts w:ascii="Times" w:hAnsi="Times" w:cs="Calibri"/>
                <w:color w:val="000000"/>
                <w:sz w:val="22"/>
                <w:szCs w:val="22"/>
              </w:rPr>
              <w:t>-17.19</w:t>
            </w:r>
          </w:p>
        </w:tc>
        <w:tc>
          <w:tcPr>
            <w:tcW w:w="792" w:type="dxa"/>
            <w:tcBorders>
              <w:top w:val="nil"/>
            </w:tcBorders>
            <w:shd w:val="clear" w:color="auto" w:fill="auto"/>
            <w:vAlign w:val="bottom"/>
          </w:tcPr>
          <w:p w14:paraId="21ABE10B"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-16.67</w:t>
            </w:r>
          </w:p>
        </w:tc>
        <w:tc>
          <w:tcPr>
            <w:tcW w:w="791" w:type="dxa"/>
            <w:tcBorders>
              <w:top w:val="nil"/>
            </w:tcBorders>
            <w:shd w:val="clear" w:color="auto" w:fill="auto"/>
          </w:tcPr>
          <w:p w14:paraId="59E5199E" w14:textId="77777777" w:rsidR="0043731F" w:rsidRPr="0064761B" w:rsidRDefault="0043731F" w:rsidP="004E354A">
            <w:pPr>
              <w:spacing w:beforeLines="40" w:before="96" w:afterLines="40" w:after="96"/>
              <w:jc w:val="center"/>
              <w:rPr>
                <w:rFonts w:ascii="Times" w:hAnsi="Times" w:cs="Calibri"/>
                <w:color w:val="000000"/>
                <w:sz w:val="22"/>
                <w:szCs w:val="22"/>
              </w:rPr>
            </w:pPr>
            <w:r w:rsidRPr="007F2875">
              <w:rPr>
                <w:rFonts w:ascii="Times" w:hAnsi="Times" w:cs="Calibri"/>
                <w:color w:val="000000"/>
                <w:sz w:val="22"/>
                <w:szCs w:val="22"/>
              </w:rPr>
              <w:t>-7.8</w:t>
            </w:r>
            <w:r>
              <w:rPr>
                <w:rFonts w:ascii="Times" w:hAnsi="Times" w:cs="Calibri"/>
                <w:color w:val="000000"/>
                <w:sz w:val="22"/>
                <w:szCs w:val="22"/>
              </w:rPr>
              <w:t>2</w:t>
            </w:r>
          </w:p>
        </w:tc>
        <w:tc>
          <w:tcPr>
            <w:tcW w:w="791" w:type="dxa"/>
            <w:tcBorders>
              <w:top w:val="nil"/>
            </w:tcBorders>
            <w:shd w:val="clear" w:color="auto" w:fill="auto"/>
            <w:vAlign w:val="bottom"/>
          </w:tcPr>
          <w:p w14:paraId="4514AC32"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2.60</w:t>
            </w:r>
          </w:p>
        </w:tc>
        <w:tc>
          <w:tcPr>
            <w:tcW w:w="791" w:type="dxa"/>
            <w:tcBorders>
              <w:top w:val="nil"/>
            </w:tcBorders>
            <w:shd w:val="clear" w:color="auto" w:fill="auto"/>
            <w:vAlign w:val="bottom"/>
          </w:tcPr>
          <w:p w14:paraId="451EE649"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-8.33</w:t>
            </w:r>
          </w:p>
        </w:tc>
        <w:tc>
          <w:tcPr>
            <w:tcW w:w="791" w:type="dxa"/>
            <w:tcBorders>
              <w:top w:val="nil"/>
            </w:tcBorders>
            <w:shd w:val="clear" w:color="auto" w:fill="auto"/>
            <w:vAlign w:val="bottom"/>
          </w:tcPr>
          <w:p w14:paraId="4D755C7B"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-1.56</w:t>
            </w:r>
          </w:p>
        </w:tc>
        <w:tc>
          <w:tcPr>
            <w:tcW w:w="792" w:type="dxa"/>
            <w:tcBorders>
              <w:top w:val="nil"/>
            </w:tcBorders>
            <w:shd w:val="clear" w:color="auto" w:fill="auto"/>
            <w:vAlign w:val="bottom"/>
          </w:tcPr>
          <w:p w14:paraId="2A69ABFC"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-5.21</w:t>
            </w:r>
          </w:p>
        </w:tc>
      </w:tr>
      <w:tr w:rsidR="0043731F" w:rsidRPr="00F74455" w14:paraId="417C5CE5" w14:textId="77777777" w:rsidTr="004E354A">
        <w:tc>
          <w:tcPr>
            <w:tcW w:w="2742" w:type="dxa"/>
            <w:shd w:val="clear" w:color="auto" w:fill="auto"/>
            <w:vAlign w:val="center"/>
          </w:tcPr>
          <w:p w14:paraId="5FB9108C" w14:textId="77777777" w:rsidR="0043731F" w:rsidRPr="00F74455" w:rsidRDefault="0043731F" w:rsidP="004E354A">
            <w:pPr>
              <w:spacing w:beforeLines="40" w:before="96" w:afterLines="40" w:after="96"/>
              <w:rPr>
                <w:color w:val="000000"/>
                <w:sz w:val="22"/>
                <w:szCs w:val="22"/>
              </w:rPr>
            </w:pPr>
            <w:r>
              <w:rPr>
                <w:color w:val="000000"/>
                <w:sz w:val="22"/>
                <w:szCs w:val="22"/>
              </w:rPr>
              <w:t>Subject frequency effect</w:t>
            </w:r>
          </w:p>
        </w:tc>
        <w:tc>
          <w:tcPr>
            <w:tcW w:w="791" w:type="dxa"/>
            <w:shd w:val="clear" w:color="auto" w:fill="auto"/>
            <w:vAlign w:val="center"/>
          </w:tcPr>
          <w:p w14:paraId="59BCBB1A"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-10.85</w:t>
            </w:r>
          </w:p>
        </w:tc>
        <w:tc>
          <w:tcPr>
            <w:tcW w:w="791" w:type="dxa"/>
            <w:shd w:val="clear" w:color="auto" w:fill="auto"/>
            <w:vAlign w:val="center"/>
          </w:tcPr>
          <w:p w14:paraId="3862B208"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-7.17</w:t>
            </w:r>
          </w:p>
        </w:tc>
        <w:tc>
          <w:tcPr>
            <w:tcW w:w="791" w:type="dxa"/>
            <w:shd w:val="clear" w:color="auto" w:fill="auto"/>
            <w:vAlign w:val="center"/>
          </w:tcPr>
          <w:p w14:paraId="3D54B1BA"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-16.73</w:t>
            </w:r>
          </w:p>
        </w:tc>
        <w:tc>
          <w:tcPr>
            <w:tcW w:w="792" w:type="dxa"/>
            <w:shd w:val="clear" w:color="auto" w:fill="auto"/>
            <w:vAlign w:val="center"/>
          </w:tcPr>
          <w:p w14:paraId="7532F7B8"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-15.13</w:t>
            </w:r>
          </w:p>
        </w:tc>
        <w:tc>
          <w:tcPr>
            <w:tcW w:w="791" w:type="dxa"/>
          </w:tcPr>
          <w:p w14:paraId="3F56552A" w14:textId="77777777" w:rsidR="0043731F" w:rsidRPr="0069588C" w:rsidRDefault="0043731F" w:rsidP="004E354A">
            <w:pPr>
              <w:spacing w:beforeLines="40" w:before="96" w:afterLines="40" w:after="96"/>
              <w:jc w:val="center"/>
              <w:rPr>
                <w:color w:val="000000"/>
                <w:sz w:val="22"/>
                <w:szCs w:val="22"/>
              </w:rPr>
            </w:pPr>
            <w:r w:rsidRPr="00B906DC">
              <w:rPr>
                <w:color w:val="000000"/>
                <w:sz w:val="22"/>
                <w:szCs w:val="22"/>
              </w:rPr>
              <w:t>-13.36</w:t>
            </w:r>
          </w:p>
        </w:tc>
        <w:tc>
          <w:tcPr>
            <w:tcW w:w="791" w:type="dxa"/>
            <w:shd w:val="clear" w:color="auto" w:fill="auto"/>
            <w:vAlign w:val="center"/>
          </w:tcPr>
          <w:p w14:paraId="6E0E07E5"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2.33</w:t>
            </w:r>
          </w:p>
        </w:tc>
        <w:tc>
          <w:tcPr>
            <w:tcW w:w="791" w:type="dxa"/>
            <w:shd w:val="clear" w:color="auto" w:fill="auto"/>
            <w:vAlign w:val="center"/>
          </w:tcPr>
          <w:p w14:paraId="2B51BBA7"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9.62</w:t>
            </w:r>
          </w:p>
        </w:tc>
        <w:tc>
          <w:tcPr>
            <w:tcW w:w="791" w:type="dxa"/>
            <w:shd w:val="clear" w:color="auto" w:fill="auto"/>
            <w:vAlign w:val="center"/>
          </w:tcPr>
          <w:p w14:paraId="7998B906"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7.97</w:t>
            </w:r>
          </w:p>
        </w:tc>
        <w:tc>
          <w:tcPr>
            <w:tcW w:w="792" w:type="dxa"/>
            <w:shd w:val="clear" w:color="auto" w:fill="auto"/>
            <w:vAlign w:val="center"/>
          </w:tcPr>
          <w:p w14:paraId="72FF26B2" w14:textId="77777777" w:rsidR="0043731F" w:rsidRPr="0069588C" w:rsidRDefault="0043731F" w:rsidP="004E354A">
            <w:pPr>
              <w:spacing w:beforeLines="40" w:before="96" w:afterLines="40" w:after="96"/>
              <w:jc w:val="center"/>
              <w:rPr>
                <w:color w:val="000000"/>
                <w:sz w:val="22"/>
                <w:szCs w:val="22"/>
              </w:rPr>
            </w:pPr>
            <w:r w:rsidRPr="0069588C">
              <w:rPr>
                <w:color w:val="000000"/>
                <w:sz w:val="22"/>
                <w:szCs w:val="22"/>
              </w:rPr>
              <w:t>9.56</w:t>
            </w:r>
          </w:p>
        </w:tc>
      </w:tr>
      <w:tr w:rsidR="0043731F" w:rsidRPr="00F74455" w14:paraId="23ABBC72" w14:textId="77777777" w:rsidTr="004E354A">
        <w:tc>
          <w:tcPr>
            <w:tcW w:w="2742" w:type="dxa"/>
            <w:shd w:val="clear" w:color="auto" w:fill="auto"/>
            <w:vAlign w:val="center"/>
          </w:tcPr>
          <w:p w14:paraId="5B049C20" w14:textId="77777777" w:rsidR="0043731F" w:rsidRPr="00F74455" w:rsidRDefault="0043731F" w:rsidP="004E354A">
            <w:pPr>
              <w:spacing w:beforeLines="40" w:before="96" w:afterLines="40" w:after="96"/>
              <w:rPr>
                <w:color w:val="000000"/>
                <w:sz w:val="22"/>
                <w:szCs w:val="22"/>
              </w:rPr>
            </w:pPr>
            <w:r>
              <w:rPr>
                <w:color w:val="000000"/>
                <w:sz w:val="22"/>
                <w:szCs w:val="22"/>
              </w:rPr>
              <w:t>Sentence relatedness effect</w:t>
            </w:r>
            <w:r w:rsidRPr="00F74455">
              <w:rPr>
                <w:color w:val="000000"/>
                <w:sz w:val="22"/>
                <w:szCs w:val="22"/>
              </w:rPr>
              <w:t xml:space="preserve"> </w:t>
            </w:r>
          </w:p>
        </w:tc>
        <w:tc>
          <w:tcPr>
            <w:tcW w:w="791" w:type="dxa"/>
            <w:shd w:val="clear" w:color="auto" w:fill="auto"/>
            <w:vAlign w:val="center"/>
          </w:tcPr>
          <w:p w14:paraId="5AE656C8"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-7.14</w:t>
            </w:r>
          </w:p>
        </w:tc>
        <w:tc>
          <w:tcPr>
            <w:tcW w:w="791" w:type="dxa"/>
            <w:shd w:val="clear" w:color="auto" w:fill="auto"/>
            <w:vAlign w:val="center"/>
          </w:tcPr>
          <w:p w14:paraId="519C2AB8"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-6.88</w:t>
            </w:r>
          </w:p>
        </w:tc>
        <w:tc>
          <w:tcPr>
            <w:tcW w:w="791" w:type="dxa"/>
            <w:shd w:val="clear" w:color="auto" w:fill="auto"/>
            <w:vAlign w:val="center"/>
          </w:tcPr>
          <w:p w14:paraId="6F1FBC8B"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-21.3</w:t>
            </w:r>
            <w:r>
              <w:rPr>
                <w:rFonts w:ascii="Times" w:hAnsi="Times"/>
                <w:color w:val="000000"/>
                <w:sz w:val="22"/>
                <w:szCs w:val="22"/>
              </w:rPr>
              <w:t>0</w:t>
            </w:r>
          </w:p>
        </w:tc>
        <w:tc>
          <w:tcPr>
            <w:tcW w:w="792" w:type="dxa"/>
            <w:shd w:val="clear" w:color="auto" w:fill="auto"/>
            <w:vAlign w:val="center"/>
          </w:tcPr>
          <w:p w14:paraId="2F910952"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-25.66</w:t>
            </w:r>
          </w:p>
        </w:tc>
        <w:tc>
          <w:tcPr>
            <w:tcW w:w="791" w:type="dxa"/>
          </w:tcPr>
          <w:p w14:paraId="6A1F6D1F" w14:textId="77777777" w:rsidR="0043731F" w:rsidRPr="0064761B" w:rsidRDefault="0043731F" w:rsidP="004E354A">
            <w:pPr>
              <w:spacing w:beforeLines="40" w:before="96" w:afterLines="40" w:after="96"/>
              <w:jc w:val="center"/>
              <w:rPr>
                <w:rFonts w:ascii="Times" w:hAnsi="Times"/>
                <w:color w:val="000000"/>
                <w:sz w:val="22"/>
                <w:szCs w:val="22"/>
              </w:rPr>
            </w:pPr>
            <w:r w:rsidRPr="00B906DC">
              <w:rPr>
                <w:rFonts w:ascii="Times" w:hAnsi="Times"/>
                <w:color w:val="000000"/>
                <w:sz w:val="22"/>
                <w:szCs w:val="22"/>
              </w:rPr>
              <w:t>-18.78</w:t>
            </w:r>
          </w:p>
        </w:tc>
        <w:tc>
          <w:tcPr>
            <w:tcW w:w="791" w:type="dxa"/>
            <w:shd w:val="clear" w:color="auto" w:fill="auto"/>
            <w:vAlign w:val="center"/>
          </w:tcPr>
          <w:p w14:paraId="52AA3266"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3.97</w:t>
            </w:r>
          </w:p>
        </w:tc>
        <w:tc>
          <w:tcPr>
            <w:tcW w:w="791" w:type="dxa"/>
            <w:shd w:val="clear" w:color="auto" w:fill="auto"/>
            <w:vAlign w:val="center"/>
          </w:tcPr>
          <w:p w14:paraId="665C61B9"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9.79</w:t>
            </w:r>
          </w:p>
        </w:tc>
        <w:tc>
          <w:tcPr>
            <w:tcW w:w="791" w:type="dxa"/>
            <w:shd w:val="clear" w:color="auto" w:fill="auto"/>
            <w:vAlign w:val="center"/>
          </w:tcPr>
          <w:p w14:paraId="011DDAEA"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12.96</w:t>
            </w:r>
          </w:p>
        </w:tc>
        <w:tc>
          <w:tcPr>
            <w:tcW w:w="792" w:type="dxa"/>
            <w:shd w:val="clear" w:color="auto" w:fill="auto"/>
            <w:vAlign w:val="center"/>
          </w:tcPr>
          <w:p w14:paraId="7163FB47" w14:textId="77777777" w:rsidR="0043731F" w:rsidRPr="0064761B" w:rsidRDefault="0043731F" w:rsidP="004E354A">
            <w:pPr>
              <w:spacing w:beforeLines="40" w:before="96" w:afterLines="40" w:after="96"/>
              <w:jc w:val="center"/>
              <w:rPr>
                <w:rFonts w:ascii="Times" w:hAnsi="Times"/>
                <w:color w:val="000000"/>
                <w:sz w:val="22"/>
                <w:szCs w:val="22"/>
              </w:rPr>
            </w:pPr>
            <w:r w:rsidRPr="0064761B">
              <w:rPr>
                <w:rFonts w:ascii="Times" w:hAnsi="Times"/>
                <w:color w:val="000000"/>
                <w:sz w:val="22"/>
                <w:szCs w:val="22"/>
              </w:rPr>
              <w:t>22.09</w:t>
            </w:r>
          </w:p>
        </w:tc>
      </w:tr>
      <w:tr w:rsidR="007F2875" w:rsidRPr="00F74455" w14:paraId="36634681" w14:textId="77777777" w:rsidTr="00D51424">
        <w:tc>
          <w:tcPr>
            <w:tcW w:w="9863" w:type="dxa"/>
            <w:gridSpan w:val="10"/>
            <w:tcBorders>
              <w:top w:val="single" w:sz="4" w:space="0" w:color="auto"/>
              <w:bottom w:val="nil"/>
            </w:tcBorders>
            <w:shd w:val="clear" w:color="auto" w:fill="auto"/>
          </w:tcPr>
          <w:p w14:paraId="2CCC5846" w14:textId="729AA9E5" w:rsidR="007F2875" w:rsidRPr="0064761B" w:rsidRDefault="0043731F" w:rsidP="007F2875">
            <w:pPr>
              <w:adjustRightInd w:val="0"/>
              <w:snapToGrid w:val="0"/>
              <w:spacing w:beforeLines="40" w:before="96" w:afterLines="40" w:after="96"/>
              <w:rPr>
                <w:rFonts w:ascii="Times" w:hAnsi="Times"/>
                <w:b/>
                <w:bCs/>
                <w:color w:val="000000"/>
                <w:sz w:val="22"/>
                <w:szCs w:val="22"/>
                <w:lang w:val="en-AU"/>
              </w:rPr>
            </w:pPr>
            <w:r>
              <w:rPr>
                <w:b/>
                <w:bCs/>
                <w:color w:val="000000"/>
                <w:sz w:val="22"/>
                <w:szCs w:val="22"/>
                <w:lang w:val="en-AU" w:eastAsia="en-US"/>
              </w:rPr>
              <w:t>Blocked cyclic naming task measure</w:t>
            </w:r>
          </w:p>
        </w:tc>
      </w:tr>
      <w:tr w:rsidR="0043731F" w:rsidRPr="00F74455" w14:paraId="74C05E83" w14:textId="77777777" w:rsidTr="004E354A">
        <w:tc>
          <w:tcPr>
            <w:tcW w:w="2742" w:type="dxa"/>
            <w:tcBorders>
              <w:top w:val="nil"/>
            </w:tcBorders>
            <w:shd w:val="clear" w:color="auto" w:fill="auto"/>
          </w:tcPr>
          <w:p w14:paraId="19948ADF" w14:textId="4475C1E5" w:rsidR="0043731F" w:rsidRPr="00F74455" w:rsidRDefault="0043731F" w:rsidP="0043731F">
            <w:pPr>
              <w:spacing w:beforeLines="40" w:before="96" w:afterLines="40" w:after="96"/>
              <w:rPr>
                <w:color w:val="000000"/>
                <w:sz w:val="22"/>
                <w:szCs w:val="22"/>
              </w:rPr>
            </w:pPr>
            <w:r>
              <w:rPr>
                <w:color w:val="000000"/>
                <w:sz w:val="22"/>
                <w:szCs w:val="22"/>
                <w:lang w:val="en-AU"/>
              </w:rPr>
              <w:t>Relatedness x cycle interaction</w:t>
            </w:r>
          </w:p>
        </w:tc>
        <w:tc>
          <w:tcPr>
            <w:tcW w:w="791" w:type="dxa"/>
            <w:tcBorders>
              <w:top w:val="nil"/>
            </w:tcBorders>
            <w:shd w:val="clear" w:color="auto" w:fill="auto"/>
          </w:tcPr>
          <w:p w14:paraId="72A055D7" w14:textId="2CEB50E7" w:rsidR="0043731F" w:rsidRPr="0064761B" w:rsidRDefault="0043731F" w:rsidP="0043731F">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-0.28</w:t>
            </w:r>
          </w:p>
        </w:tc>
        <w:tc>
          <w:tcPr>
            <w:tcW w:w="791" w:type="dxa"/>
            <w:tcBorders>
              <w:top w:val="nil"/>
            </w:tcBorders>
            <w:shd w:val="clear" w:color="auto" w:fill="auto"/>
          </w:tcPr>
          <w:p w14:paraId="0C0A083A" w14:textId="35E3EF26" w:rsidR="0043731F" w:rsidRPr="0064761B" w:rsidRDefault="0043731F" w:rsidP="0043731F">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1.20</w:t>
            </w:r>
          </w:p>
        </w:tc>
        <w:tc>
          <w:tcPr>
            <w:tcW w:w="791" w:type="dxa"/>
            <w:tcBorders>
              <w:top w:val="nil"/>
            </w:tcBorders>
            <w:shd w:val="clear" w:color="auto" w:fill="auto"/>
          </w:tcPr>
          <w:p w14:paraId="77EA5AEE" w14:textId="19DC7264" w:rsidR="0043731F" w:rsidRPr="0064761B" w:rsidRDefault="0043731F" w:rsidP="0043731F">
            <w:pPr>
              <w:spacing w:beforeLines="40" w:before="96" w:afterLines="40" w:after="96"/>
              <w:ind w:left="-57"/>
              <w:jc w:val="center"/>
              <w:rPr>
                <w:rFonts w:ascii="Times" w:hAnsi="Times"/>
                <w:color w:val="000000"/>
                <w:sz w:val="22"/>
                <w:szCs w:val="22"/>
              </w:rPr>
            </w:pPr>
            <w:r w:rsidRPr="00B70BDE">
              <w:rPr>
                <w:rFonts w:ascii="Times" w:hAnsi="Times" w:cs="Calibri"/>
                <w:color w:val="000000"/>
                <w:sz w:val="22"/>
                <w:szCs w:val="22"/>
              </w:rPr>
              <w:t>-7.50</w:t>
            </w:r>
          </w:p>
        </w:tc>
        <w:tc>
          <w:tcPr>
            <w:tcW w:w="792" w:type="dxa"/>
            <w:tcBorders>
              <w:top w:val="nil"/>
            </w:tcBorders>
            <w:shd w:val="clear" w:color="auto" w:fill="auto"/>
          </w:tcPr>
          <w:p w14:paraId="74AF4FB3" w14:textId="30171B9C" w:rsidR="0043731F" w:rsidRPr="0064761B" w:rsidRDefault="0043731F" w:rsidP="0043731F">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-4.58</w:t>
            </w:r>
          </w:p>
        </w:tc>
        <w:tc>
          <w:tcPr>
            <w:tcW w:w="791" w:type="dxa"/>
            <w:tcBorders>
              <w:top w:val="nil"/>
            </w:tcBorders>
            <w:shd w:val="clear" w:color="auto" w:fill="auto"/>
          </w:tcPr>
          <w:p w14:paraId="7656DA96" w14:textId="49472E52" w:rsidR="0043731F" w:rsidRPr="0064761B" w:rsidRDefault="0043731F" w:rsidP="0043731F">
            <w:pPr>
              <w:spacing w:beforeLines="40" w:before="96" w:afterLines="40" w:after="96"/>
              <w:jc w:val="center"/>
              <w:rPr>
                <w:rFonts w:ascii="Times" w:hAnsi="Times" w:cs="Calibri"/>
                <w:color w:val="000000"/>
                <w:sz w:val="22"/>
                <w:szCs w:val="22"/>
              </w:rPr>
            </w:pPr>
            <w:r w:rsidRPr="00F25142">
              <w:rPr>
                <w:color w:val="000000"/>
                <w:sz w:val="22"/>
                <w:szCs w:val="22"/>
                <w:lang w:val="en-AU" w:eastAsia="en-US"/>
              </w:rPr>
              <w:t>1.6</w:t>
            </w:r>
            <w:r>
              <w:rPr>
                <w:color w:val="000000"/>
                <w:sz w:val="22"/>
                <w:szCs w:val="22"/>
                <w:lang w:val="en-AU" w:eastAsia="en-US"/>
              </w:rPr>
              <w:t>5</w:t>
            </w:r>
          </w:p>
        </w:tc>
        <w:tc>
          <w:tcPr>
            <w:tcW w:w="791" w:type="dxa"/>
            <w:tcBorders>
              <w:top w:val="nil"/>
            </w:tcBorders>
            <w:shd w:val="clear" w:color="auto" w:fill="auto"/>
          </w:tcPr>
          <w:p w14:paraId="04916DF5" w14:textId="15B0D9DF" w:rsidR="0043731F" w:rsidRPr="0064761B" w:rsidRDefault="0043731F" w:rsidP="0043731F">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1.39</w:t>
            </w:r>
          </w:p>
        </w:tc>
        <w:tc>
          <w:tcPr>
            <w:tcW w:w="791" w:type="dxa"/>
            <w:tcBorders>
              <w:top w:val="nil"/>
            </w:tcBorders>
            <w:shd w:val="clear" w:color="auto" w:fill="auto"/>
          </w:tcPr>
          <w:p w14:paraId="5A340115" w14:textId="513601A9" w:rsidR="0043731F" w:rsidRPr="0064761B" w:rsidRDefault="0043731F" w:rsidP="0043731F">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1.81</w:t>
            </w:r>
          </w:p>
        </w:tc>
        <w:tc>
          <w:tcPr>
            <w:tcW w:w="791" w:type="dxa"/>
            <w:tcBorders>
              <w:top w:val="nil"/>
            </w:tcBorders>
            <w:shd w:val="clear" w:color="auto" w:fill="auto"/>
          </w:tcPr>
          <w:p w14:paraId="181A5B7F" w14:textId="054FBFC1" w:rsidR="0043731F" w:rsidRPr="0064761B" w:rsidRDefault="0043731F" w:rsidP="0043731F">
            <w:pPr>
              <w:spacing w:beforeLines="40" w:before="96" w:afterLines="40" w:after="96"/>
              <w:jc w:val="center"/>
              <w:rPr>
                <w:rFonts w:ascii="Times" w:hAnsi="Times"/>
                <w:color w:val="000000"/>
                <w:sz w:val="22"/>
                <w:szCs w:val="22"/>
              </w:rPr>
            </w:pPr>
            <w:r w:rsidRPr="0064761B">
              <w:rPr>
                <w:rFonts w:ascii="Times" w:hAnsi="Times" w:cs="Calibri"/>
                <w:color w:val="000000"/>
                <w:sz w:val="22"/>
                <w:szCs w:val="22"/>
              </w:rPr>
              <w:t>0.56</w:t>
            </w:r>
          </w:p>
        </w:tc>
        <w:tc>
          <w:tcPr>
            <w:tcW w:w="792" w:type="dxa"/>
            <w:tcBorders>
              <w:top w:val="nil"/>
            </w:tcBorders>
            <w:shd w:val="clear" w:color="auto" w:fill="auto"/>
          </w:tcPr>
          <w:p w14:paraId="4634DAF2" w14:textId="350BBA8D" w:rsidR="0043731F" w:rsidRPr="0064761B" w:rsidRDefault="0043731F" w:rsidP="0043731F">
            <w:pPr>
              <w:spacing w:beforeLines="40" w:before="96" w:afterLines="40" w:after="96"/>
              <w:jc w:val="center"/>
              <w:rPr>
                <w:rFonts w:ascii="Times" w:hAnsi="Times"/>
                <w:color w:val="000000"/>
                <w:sz w:val="22"/>
                <w:szCs w:val="22"/>
              </w:rPr>
            </w:pPr>
            <w:r w:rsidRPr="00B70BDE">
              <w:rPr>
                <w:sz w:val="22"/>
                <w:szCs w:val="22"/>
              </w:rPr>
              <w:t>-1.39</w:t>
            </w:r>
          </w:p>
        </w:tc>
      </w:tr>
    </w:tbl>
    <w:p w14:paraId="0129B516" w14:textId="77777777" w:rsidR="009B1A42" w:rsidRPr="00D16EFD" w:rsidRDefault="009B1A42" w:rsidP="009B1A42">
      <w:pPr>
        <w:adjustRightInd w:val="0"/>
        <w:snapToGrid w:val="0"/>
        <w:ind w:left="142"/>
        <w:rPr>
          <w:sz w:val="20"/>
          <w:szCs w:val="20"/>
          <w:lang w:val="en-AU"/>
        </w:rPr>
      </w:pPr>
      <w:r w:rsidRPr="00D16EFD">
        <w:rPr>
          <w:sz w:val="20"/>
          <w:szCs w:val="20"/>
          <w:lang w:val="en-AU"/>
        </w:rPr>
        <w:t>BA = Broca’s aphasia; WA = Wernicke’s aphasia; CA= conduction aphasia</w:t>
      </w:r>
      <w:r>
        <w:rPr>
          <w:sz w:val="20"/>
          <w:szCs w:val="20"/>
          <w:lang w:val="en-AU"/>
        </w:rPr>
        <w:t>; AA = anomic aphasia</w:t>
      </w:r>
    </w:p>
    <w:p w14:paraId="3814CDF5" w14:textId="77777777" w:rsidR="009B1A42" w:rsidRPr="00D16EFD" w:rsidRDefault="009B1A42" w:rsidP="009B1A42">
      <w:pPr>
        <w:adjustRightInd w:val="0"/>
        <w:snapToGrid w:val="0"/>
        <w:ind w:left="142"/>
        <w:rPr>
          <w:color w:val="000000"/>
          <w:sz w:val="20"/>
          <w:szCs w:val="20"/>
          <w:lang w:val="en-AU"/>
        </w:rPr>
      </w:pPr>
      <w:r w:rsidRPr="00D16EFD">
        <w:rPr>
          <w:sz w:val="20"/>
          <w:szCs w:val="20"/>
          <w:lang w:val="en-AU"/>
        </w:rPr>
        <w:t xml:space="preserve">BDAE = The </w:t>
      </w:r>
      <w:r w:rsidRPr="00D16EFD">
        <w:rPr>
          <w:color w:val="000000"/>
          <w:sz w:val="20"/>
          <w:szCs w:val="20"/>
          <w:lang w:val="en-AU"/>
        </w:rPr>
        <w:t>Boston Diagnostic Aphasia Examination (Goodglass et al., 2001)</w:t>
      </w:r>
      <w:r>
        <w:rPr>
          <w:color w:val="000000"/>
          <w:sz w:val="20"/>
          <w:szCs w:val="20"/>
          <w:lang w:val="en-AU"/>
        </w:rPr>
        <w:t>.</w:t>
      </w:r>
    </w:p>
    <w:p w14:paraId="112DF5FE" w14:textId="77777777" w:rsidR="009B1A42" w:rsidRPr="00D16EFD" w:rsidRDefault="009B1A42" w:rsidP="009B1A42">
      <w:pPr>
        <w:adjustRightInd w:val="0"/>
        <w:snapToGrid w:val="0"/>
        <w:ind w:left="142"/>
        <w:rPr>
          <w:sz w:val="20"/>
          <w:szCs w:val="20"/>
          <w:lang w:val="en-AU"/>
        </w:rPr>
      </w:pPr>
      <w:r w:rsidRPr="00D16EFD">
        <w:rPr>
          <w:color w:val="000000"/>
          <w:sz w:val="20"/>
          <w:szCs w:val="20"/>
          <w:lang w:val="en-AU"/>
        </w:rPr>
        <w:t xml:space="preserve">QPA = </w:t>
      </w:r>
      <w:r w:rsidRPr="00D16EFD">
        <w:rPr>
          <w:sz w:val="20"/>
          <w:szCs w:val="20"/>
          <w:lang w:val="en-AU"/>
        </w:rPr>
        <w:t xml:space="preserve">The Quantitative Production Analysis </w:t>
      </w:r>
      <w:r>
        <w:rPr>
          <w:sz w:val="20"/>
          <w:szCs w:val="20"/>
          <w:lang w:val="en-AU"/>
        </w:rPr>
        <w:t>(</w:t>
      </w:r>
      <w:r w:rsidRPr="00D16EFD">
        <w:rPr>
          <w:sz w:val="20"/>
          <w:szCs w:val="20"/>
          <w:lang w:val="en-AU"/>
        </w:rPr>
        <w:t xml:space="preserve">Saffran, Berndt </w:t>
      </w:r>
      <w:r>
        <w:rPr>
          <w:sz w:val="20"/>
          <w:szCs w:val="20"/>
          <w:lang w:val="en-AU"/>
        </w:rPr>
        <w:t>&amp;</w:t>
      </w:r>
      <w:r w:rsidRPr="00D16EFD">
        <w:rPr>
          <w:sz w:val="20"/>
          <w:szCs w:val="20"/>
          <w:lang w:val="en-AU"/>
        </w:rPr>
        <w:t xml:space="preserve"> Schwartz</w:t>
      </w:r>
      <w:r>
        <w:rPr>
          <w:sz w:val="20"/>
          <w:szCs w:val="20"/>
          <w:lang w:val="en-AU"/>
        </w:rPr>
        <w:t xml:space="preserve">, </w:t>
      </w:r>
      <w:r w:rsidRPr="00D16EFD">
        <w:rPr>
          <w:sz w:val="20"/>
          <w:szCs w:val="20"/>
          <w:lang w:val="en-AU"/>
        </w:rPr>
        <w:t>1989).</w:t>
      </w:r>
    </w:p>
    <w:p w14:paraId="2B42C2E1" w14:textId="77777777" w:rsidR="009B1A42" w:rsidRPr="00DD01C6" w:rsidRDefault="009B1A42" w:rsidP="009B1A42">
      <w:pPr>
        <w:adjustRightInd w:val="0"/>
        <w:snapToGrid w:val="0"/>
        <w:spacing w:line="360" w:lineRule="auto"/>
        <w:rPr>
          <w:color w:val="000000"/>
          <w:sz w:val="20"/>
          <w:szCs w:val="20"/>
          <w:lang w:val="en-AU"/>
        </w:rPr>
      </w:pPr>
    </w:p>
    <w:p w14:paraId="3B3AEEA8" w14:textId="77777777" w:rsidR="009B1A42" w:rsidRPr="00A21E9B" w:rsidRDefault="009B1A42" w:rsidP="009B1A42">
      <w:pPr>
        <w:spacing w:line="360" w:lineRule="auto"/>
        <w:rPr>
          <w:b/>
          <w:bCs/>
          <w:lang w:val="en-AU"/>
        </w:rPr>
      </w:pPr>
      <w:r w:rsidRPr="00A21E9B">
        <w:rPr>
          <w:b/>
          <w:bCs/>
          <w:lang w:val="en-AU"/>
        </w:rPr>
        <w:t>Table 1</w:t>
      </w:r>
    </w:p>
    <w:p w14:paraId="5EE2705B" w14:textId="77777777" w:rsidR="009B1A42" w:rsidRDefault="009B1A42" w:rsidP="009B1A42">
      <w:pPr>
        <w:spacing w:line="360" w:lineRule="auto"/>
        <w:rPr>
          <w:lang w:val="en-AU"/>
        </w:rPr>
      </w:pPr>
      <w:r w:rsidRPr="00A21E9B">
        <w:rPr>
          <w:lang w:val="en-AU"/>
        </w:rPr>
        <w:t xml:space="preserve">Background information for each participant and scores on key measures. </w:t>
      </w:r>
    </w:p>
    <w:p w14:paraId="18C056AE" w14:textId="77777777" w:rsidR="007F2875" w:rsidRDefault="007F2875" w:rsidP="00E016A3">
      <w:pPr>
        <w:autoSpaceDE w:val="0"/>
        <w:autoSpaceDN w:val="0"/>
        <w:adjustRightInd w:val="0"/>
        <w:spacing w:line="480" w:lineRule="auto"/>
        <w:rPr>
          <w:b/>
          <w:lang w:val="en-AU"/>
        </w:rPr>
      </w:pPr>
    </w:p>
    <w:p w14:paraId="32ED3C10" w14:textId="19B8BE39" w:rsidR="00C02C19" w:rsidRDefault="002C7746" w:rsidP="001F2EA7">
      <w:pPr>
        <w:spacing w:line="480" w:lineRule="auto"/>
        <w:ind w:firstLine="720"/>
        <w:rPr>
          <w:lang w:val="en-AU"/>
        </w:rPr>
      </w:pPr>
      <w:r>
        <w:rPr>
          <w:b/>
          <w:bCs/>
          <w:lang w:val="en-AU"/>
        </w:rPr>
        <w:t xml:space="preserve">2.2.2. </w:t>
      </w:r>
      <w:r w:rsidR="005D0D34">
        <w:rPr>
          <w:b/>
          <w:bCs/>
          <w:lang w:val="en-AU"/>
        </w:rPr>
        <w:t>S</w:t>
      </w:r>
      <w:r w:rsidR="00CD63EE" w:rsidRPr="00AE30DE">
        <w:rPr>
          <w:b/>
          <w:bCs/>
          <w:lang w:val="en-AU"/>
        </w:rPr>
        <w:t>entence</w:t>
      </w:r>
      <w:r w:rsidR="00AE30DE" w:rsidRPr="00AE30DE">
        <w:rPr>
          <w:b/>
          <w:bCs/>
          <w:lang w:val="en-AU"/>
        </w:rPr>
        <w:t xml:space="preserve"> </w:t>
      </w:r>
      <w:r w:rsidR="00CD63EE" w:rsidRPr="00AE30DE">
        <w:rPr>
          <w:b/>
          <w:bCs/>
          <w:lang w:val="en-AU"/>
        </w:rPr>
        <w:t>production</w:t>
      </w:r>
      <w:r w:rsidR="00AE30DE" w:rsidRPr="00AE30DE">
        <w:rPr>
          <w:b/>
          <w:bCs/>
          <w:lang w:val="en-AU"/>
        </w:rPr>
        <w:t xml:space="preserve"> task</w:t>
      </w:r>
      <w:r w:rsidR="00C02C19">
        <w:rPr>
          <w:b/>
          <w:bCs/>
          <w:lang w:val="en-AU"/>
        </w:rPr>
        <w:t>s</w:t>
      </w:r>
      <w:r w:rsidR="00AE30DE" w:rsidRPr="00AE30DE">
        <w:rPr>
          <w:b/>
          <w:bCs/>
          <w:lang w:val="en-AU"/>
        </w:rPr>
        <w:t>.</w:t>
      </w:r>
      <w:r w:rsidR="00AE30DE">
        <w:rPr>
          <w:lang w:val="en-AU"/>
        </w:rPr>
        <w:t xml:space="preserve"> </w:t>
      </w:r>
      <w:r w:rsidR="00E016A3">
        <w:rPr>
          <w:lang w:val="en-AU"/>
        </w:rPr>
        <w:t>Full details of the</w:t>
      </w:r>
      <w:r w:rsidR="00C02C19">
        <w:rPr>
          <w:lang w:val="en-AU"/>
        </w:rPr>
        <w:t>se</w:t>
      </w:r>
      <w:r w:rsidR="00E016A3">
        <w:rPr>
          <w:lang w:val="en-AU"/>
        </w:rPr>
        <w:t xml:space="preserve"> task</w:t>
      </w:r>
      <w:r w:rsidR="00B77949">
        <w:rPr>
          <w:lang w:val="en-AU"/>
        </w:rPr>
        <w:t>s</w:t>
      </w:r>
      <w:r w:rsidR="006D6B72">
        <w:rPr>
          <w:lang w:val="en-AU"/>
        </w:rPr>
        <w:t xml:space="preserve"> </w:t>
      </w:r>
      <w:r w:rsidR="00AD12A3">
        <w:rPr>
          <w:lang w:val="en-AU"/>
        </w:rPr>
        <w:t>are</w:t>
      </w:r>
      <w:r w:rsidR="006D6B72">
        <w:rPr>
          <w:lang w:val="en-AU"/>
        </w:rPr>
        <w:t xml:space="preserve"> </w:t>
      </w:r>
      <w:r w:rsidR="00E016A3">
        <w:rPr>
          <w:lang w:val="en-AU"/>
        </w:rPr>
        <w:t>provided in Speer and Wilshire (201</w:t>
      </w:r>
      <w:r w:rsidR="00B77949">
        <w:rPr>
          <w:lang w:val="en-AU"/>
        </w:rPr>
        <w:t>3</w:t>
      </w:r>
      <w:r w:rsidR="00E016A3">
        <w:rPr>
          <w:lang w:val="en-AU"/>
        </w:rPr>
        <w:t xml:space="preserve">), and will only be summarised here. </w:t>
      </w:r>
      <w:r w:rsidR="005D0D34">
        <w:rPr>
          <w:lang w:val="en-AU"/>
        </w:rPr>
        <w:t>In</w:t>
      </w:r>
      <w:r w:rsidR="00C02C19">
        <w:rPr>
          <w:lang w:val="en-AU"/>
        </w:rPr>
        <w:t xml:space="preserve"> </w:t>
      </w:r>
      <w:r w:rsidR="00B77949">
        <w:rPr>
          <w:lang w:val="en-AU"/>
        </w:rPr>
        <w:t>Speer and Wilshire’s E</w:t>
      </w:r>
      <w:r w:rsidR="00C02C19">
        <w:rPr>
          <w:lang w:val="en-AU"/>
        </w:rPr>
        <w:t>xperiment 1</w:t>
      </w:r>
      <w:r w:rsidR="005D0D34">
        <w:rPr>
          <w:lang w:val="en-AU"/>
        </w:rPr>
        <w:t>, the stimuli</w:t>
      </w:r>
      <w:r w:rsidR="00B77949">
        <w:rPr>
          <w:lang w:val="en-AU"/>
        </w:rPr>
        <w:t xml:space="preserve"> consisted of</w:t>
      </w:r>
      <w:r w:rsidR="00B77949" w:rsidRPr="007D7DAA">
        <w:rPr>
          <w:lang w:val="en-AU"/>
        </w:rPr>
        <w:t xml:space="preserve"> </w:t>
      </w:r>
      <w:r w:rsidR="00675611">
        <w:rPr>
          <w:lang w:val="en-AU"/>
        </w:rPr>
        <w:t>66</w:t>
      </w:r>
      <w:r w:rsidR="00B77949">
        <w:rPr>
          <w:lang w:val="en-AU"/>
        </w:rPr>
        <w:t xml:space="preserve"> </w:t>
      </w:r>
      <w:r w:rsidR="003A4D56">
        <w:rPr>
          <w:lang w:val="en-AU"/>
        </w:rPr>
        <w:t xml:space="preserve">pictured </w:t>
      </w:r>
      <w:r w:rsidR="00B77949">
        <w:rPr>
          <w:lang w:val="en-AU"/>
        </w:rPr>
        <w:t>scenes</w:t>
      </w:r>
      <w:r w:rsidR="00B77949" w:rsidRPr="007D7DAA">
        <w:rPr>
          <w:lang w:val="en-AU"/>
        </w:rPr>
        <w:t xml:space="preserve"> </w:t>
      </w:r>
      <w:r w:rsidR="00B77949">
        <w:rPr>
          <w:lang w:val="en-AU"/>
        </w:rPr>
        <w:t>depicting simple interactions between two participants, which could be described using SVO sentences</w:t>
      </w:r>
      <w:r w:rsidR="00B77949" w:rsidRPr="005A5FA1">
        <w:rPr>
          <w:lang w:val="en-AU"/>
        </w:rPr>
        <w:t>.</w:t>
      </w:r>
      <w:r w:rsidR="00B77949">
        <w:rPr>
          <w:lang w:val="en-AU"/>
        </w:rPr>
        <w:t xml:space="preserve"> </w:t>
      </w:r>
      <w:r w:rsidR="001F2EA7">
        <w:rPr>
          <w:lang w:val="en-AU"/>
        </w:rPr>
        <w:t>The scenes had undergone a comprehensive norming procedure, and all had elicited at least 80% sentence naming agreement in a group of nonaphasic controls (</w:t>
      </w:r>
      <w:r w:rsidR="001F2EA7" w:rsidRPr="007D7DAA">
        <w:rPr>
          <w:lang w:val="en-AU"/>
        </w:rPr>
        <w:t>not penalising for appropriate alternative verbs</w:t>
      </w:r>
      <w:r w:rsidR="001F2EA7">
        <w:rPr>
          <w:lang w:val="en-AU"/>
        </w:rPr>
        <w:t>,</w:t>
      </w:r>
      <w:r w:rsidR="001F2EA7" w:rsidRPr="007D7DAA">
        <w:rPr>
          <w:lang w:val="en-AU"/>
        </w:rPr>
        <w:t xml:space="preserve"> </w:t>
      </w:r>
      <w:r w:rsidR="001F2EA7">
        <w:rPr>
          <w:lang w:val="en-AU"/>
        </w:rPr>
        <w:t>e.</w:t>
      </w:r>
      <w:r w:rsidR="001F2EA7" w:rsidRPr="007D7DAA">
        <w:rPr>
          <w:lang w:val="en-AU"/>
        </w:rPr>
        <w:t xml:space="preserve">g., eating -&gt; </w:t>
      </w:r>
      <w:r w:rsidR="001F2EA7" w:rsidRPr="00B83B55">
        <w:rPr>
          <w:i/>
          <w:iCs/>
          <w:lang w:val="en-AU"/>
        </w:rPr>
        <w:t>biting</w:t>
      </w:r>
      <w:r w:rsidR="001F2EA7">
        <w:rPr>
          <w:lang w:val="en-AU"/>
        </w:rPr>
        <w:t>)</w:t>
      </w:r>
      <w:r w:rsidR="001F2EA7" w:rsidRPr="007D7DAA">
        <w:rPr>
          <w:lang w:val="en-AU"/>
        </w:rPr>
        <w:t>.</w:t>
      </w:r>
      <w:r w:rsidR="001F2EA7">
        <w:rPr>
          <w:lang w:val="en-AU"/>
        </w:rPr>
        <w:t xml:space="preserve"> </w:t>
      </w:r>
      <w:r w:rsidR="003E5323">
        <w:rPr>
          <w:lang w:val="en-AU"/>
        </w:rPr>
        <w:lastRenderedPageBreak/>
        <w:t xml:space="preserve">Examples of picture stimuli and their target </w:t>
      </w:r>
      <w:r w:rsidR="00147725">
        <w:rPr>
          <w:lang w:val="en-AU"/>
        </w:rPr>
        <w:t>sentences</w:t>
      </w:r>
      <w:r w:rsidR="003E5323">
        <w:rPr>
          <w:lang w:val="en-AU"/>
        </w:rPr>
        <w:t xml:space="preserve"> are shown in Figure 2. </w:t>
      </w:r>
      <w:r w:rsidR="001F2EA7">
        <w:rPr>
          <w:lang w:val="en-AU"/>
        </w:rPr>
        <w:t>In all target sentences, the subject and object nouns were monosyllabic</w:t>
      </w:r>
      <w:r w:rsidR="00FE43A6">
        <w:rPr>
          <w:lang w:val="en-AU"/>
        </w:rPr>
        <w:t xml:space="preserve"> and of either high or low </w:t>
      </w:r>
      <w:r w:rsidR="00B93E49">
        <w:rPr>
          <w:lang w:val="en-AU"/>
        </w:rPr>
        <w:t>frequency</w:t>
      </w:r>
      <w:r w:rsidR="001F2EA7">
        <w:rPr>
          <w:lang w:val="en-AU"/>
        </w:rPr>
        <w:t xml:space="preserve">. </w:t>
      </w:r>
      <w:r w:rsidR="00277718">
        <w:rPr>
          <w:lang w:val="en-AU"/>
        </w:rPr>
        <w:t xml:space="preserve">Every </w:t>
      </w:r>
      <w:r w:rsidR="00161DFF">
        <w:rPr>
          <w:lang w:val="en-AU"/>
        </w:rPr>
        <w:t xml:space="preserve">noun appeared once in a sentence as a subject noun and once as an object noun. </w:t>
      </w:r>
      <w:r w:rsidR="00C02C19" w:rsidRPr="00E040DF">
        <w:rPr>
          <w:lang w:val="en-AU"/>
        </w:rPr>
        <w:t xml:space="preserve">To prevent syntactic priming, these </w:t>
      </w:r>
      <w:r w:rsidR="00C02C19" w:rsidRPr="00675611">
        <w:rPr>
          <w:lang w:val="en-AU"/>
        </w:rPr>
        <w:t>66</w:t>
      </w:r>
      <w:r w:rsidR="00C02C19" w:rsidRPr="00E040DF">
        <w:rPr>
          <w:lang w:val="en-AU"/>
        </w:rPr>
        <w:t xml:space="preserve"> pictured scenes were randomly interspersed with an additional 66 filler pictures which elicited sentences with a different syntactic structure, and different noun elements. </w:t>
      </w:r>
    </w:p>
    <w:p w14:paraId="2C35E8AC" w14:textId="17C41287" w:rsidR="00E016A3" w:rsidRDefault="00E16EB5" w:rsidP="00E016A3">
      <w:pPr>
        <w:spacing w:line="480" w:lineRule="auto"/>
        <w:ind w:firstLine="720"/>
        <w:rPr>
          <w:lang w:val="en-AU"/>
        </w:rPr>
      </w:pPr>
      <w:r>
        <w:rPr>
          <w:lang w:val="en-AU"/>
        </w:rPr>
        <w:t>I</w:t>
      </w:r>
      <w:r w:rsidR="00161DFF">
        <w:rPr>
          <w:lang w:val="en-AU"/>
        </w:rPr>
        <w:t xml:space="preserve">n Speer and Wilshire’s Experiment </w:t>
      </w:r>
      <w:r w:rsidR="0003113B">
        <w:rPr>
          <w:lang w:val="en-AU"/>
        </w:rPr>
        <w:t>2</w:t>
      </w:r>
      <w:r>
        <w:rPr>
          <w:lang w:val="en-AU"/>
        </w:rPr>
        <w:t xml:space="preserve">, the stimuli </w:t>
      </w:r>
      <w:r w:rsidR="00161DFF">
        <w:rPr>
          <w:lang w:val="en-AU"/>
        </w:rPr>
        <w:t>consisted of</w:t>
      </w:r>
      <w:r w:rsidR="00E016A3" w:rsidRPr="007D7DAA">
        <w:rPr>
          <w:lang w:val="en-AU"/>
        </w:rPr>
        <w:t xml:space="preserve"> </w:t>
      </w:r>
      <w:r w:rsidR="00AD12A3">
        <w:rPr>
          <w:lang w:val="en-AU"/>
        </w:rPr>
        <w:t xml:space="preserve">64 </w:t>
      </w:r>
      <w:r w:rsidR="00E016A3">
        <w:rPr>
          <w:lang w:val="en-AU"/>
        </w:rPr>
        <w:t>scenes</w:t>
      </w:r>
      <w:r w:rsidR="00E016A3" w:rsidRPr="007D7DAA">
        <w:rPr>
          <w:lang w:val="en-AU"/>
        </w:rPr>
        <w:t xml:space="preserve"> </w:t>
      </w:r>
      <w:r>
        <w:rPr>
          <w:lang w:val="en-AU"/>
        </w:rPr>
        <w:t xml:space="preserve">similar to those used in </w:t>
      </w:r>
      <w:r w:rsidR="001D5CE5">
        <w:rPr>
          <w:lang w:val="en-AU"/>
        </w:rPr>
        <w:t>Experiment</w:t>
      </w:r>
      <w:r>
        <w:rPr>
          <w:lang w:val="en-AU"/>
        </w:rPr>
        <w:t xml:space="preserve"> 1, except </w:t>
      </w:r>
      <w:r w:rsidR="00B431B1">
        <w:rPr>
          <w:lang w:val="en-AU"/>
        </w:rPr>
        <w:t>that</w:t>
      </w:r>
      <w:r>
        <w:rPr>
          <w:lang w:val="en-AU"/>
        </w:rPr>
        <w:t xml:space="preserve"> the </w:t>
      </w:r>
      <w:r w:rsidR="00BE5828">
        <w:rPr>
          <w:lang w:val="en-AU"/>
        </w:rPr>
        <w:t>semantic</w:t>
      </w:r>
      <w:r w:rsidR="003B3A11">
        <w:rPr>
          <w:lang w:val="en-AU"/>
        </w:rPr>
        <w:t xml:space="preserve"> relationship between the subject and object nouns was systematically varied. In</w:t>
      </w:r>
      <w:r w:rsidR="006D6B72">
        <w:rPr>
          <w:lang w:val="en-AU"/>
        </w:rPr>
        <w:t xml:space="preserve"> </w:t>
      </w:r>
      <w:r w:rsidR="006D6B72" w:rsidRPr="006F5605">
        <w:rPr>
          <w:i/>
          <w:iCs/>
          <w:lang w:val="en-AU"/>
        </w:rPr>
        <w:t xml:space="preserve">related </w:t>
      </w:r>
      <w:r w:rsidR="006D6B72">
        <w:rPr>
          <w:lang w:val="en-AU"/>
        </w:rPr>
        <w:t xml:space="preserve">sentences, </w:t>
      </w:r>
      <w:r w:rsidR="00151D53">
        <w:rPr>
          <w:lang w:val="en-AU"/>
        </w:rPr>
        <w:t>both</w:t>
      </w:r>
      <w:r w:rsidR="006D6B72">
        <w:rPr>
          <w:lang w:val="en-AU"/>
        </w:rPr>
        <w:t xml:space="preserve"> nouns were drawn</w:t>
      </w:r>
      <w:r w:rsidR="006D6B72" w:rsidRPr="007D7DAA">
        <w:rPr>
          <w:lang w:val="en-AU"/>
        </w:rPr>
        <w:t xml:space="preserve"> from the same broad </w:t>
      </w:r>
      <w:r w:rsidR="006D6B72">
        <w:rPr>
          <w:lang w:val="en-AU"/>
        </w:rPr>
        <w:t xml:space="preserve">semantic </w:t>
      </w:r>
      <w:r w:rsidR="006D6B72" w:rsidRPr="007D7DAA">
        <w:rPr>
          <w:lang w:val="en-AU"/>
        </w:rPr>
        <w:t xml:space="preserve">category - either animals (e.g., </w:t>
      </w:r>
      <w:r w:rsidR="006D6B72" w:rsidRPr="007D7DAA">
        <w:rPr>
          <w:i/>
          <w:lang w:val="en-AU"/>
        </w:rPr>
        <w:t>bear, skunk</w:t>
      </w:r>
      <w:r w:rsidR="006D6B72" w:rsidRPr="007D7DAA">
        <w:rPr>
          <w:lang w:val="en-AU"/>
        </w:rPr>
        <w:t xml:space="preserve">) or real/imagined persons (e.g., </w:t>
      </w:r>
      <w:r w:rsidR="006D6B72" w:rsidRPr="007D7DAA">
        <w:rPr>
          <w:i/>
          <w:lang w:val="en-AU"/>
        </w:rPr>
        <w:t>king, ghost</w:t>
      </w:r>
      <w:r w:rsidR="006D6B72" w:rsidRPr="007D7DAA">
        <w:rPr>
          <w:lang w:val="en-AU"/>
        </w:rPr>
        <w:t>)</w:t>
      </w:r>
      <w:r w:rsidR="006D6B72">
        <w:rPr>
          <w:lang w:val="en-AU"/>
        </w:rPr>
        <w:t xml:space="preserve">. In </w:t>
      </w:r>
      <w:r w:rsidR="006D6B72" w:rsidRPr="006F5605">
        <w:rPr>
          <w:i/>
          <w:iCs/>
          <w:lang w:val="en-AU"/>
        </w:rPr>
        <w:t>unrelated</w:t>
      </w:r>
      <w:r w:rsidR="006D6B72">
        <w:rPr>
          <w:lang w:val="en-AU"/>
        </w:rPr>
        <w:t xml:space="preserve"> sentences, the subject and object nouns were drawn</w:t>
      </w:r>
      <w:r w:rsidR="006D6B72" w:rsidRPr="007D7DAA">
        <w:rPr>
          <w:lang w:val="en-AU"/>
        </w:rPr>
        <w:t xml:space="preserve"> from different categories. </w:t>
      </w:r>
      <w:r w:rsidR="00AD12A3">
        <w:rPr>
          <w:lang w:val="en-AU"/>
        </w:rPr>
        <w:t>A total of 28</w:t>
      </w:r>
      <w:r w:rsidR="006D6B72">
        <w:rPr>
          <w:lang w:val="en-AU"/>
        </w:rPr>
        <w:t xml:space="preserve"> related and 36 unrelated</w:t>
      </w:r>
      <w:r w:rsidR="00AD12A3">
        <w:rPr>
          <w:lang w:val="en-AU"/>
        </w:rPr>
        <w:t xml:space="preserve"> sent</w:t>
      </w:r>
      <w:r w:rsidR="003B3A11">
        <w:rPr>
          <w:lang w:val="en-AU"/>
        </w:rPr>
        <w:t>e</w:t>
      </w:r>
      <w:r w:rsidR="00AD12A3">
        <w:rPr>
          <w:lang w:val="en-AU"/>
        </w:rPr>
        <w:t>nces passed our norming procedure</w:t>
      </w:r>
      <w:r w:rsidR="006D6B72">
        <w:rPr>
          <w:lang w:val="en-AU"/>
        </w:rPr>
        <w:t xml:space="preserve">. Word </w:t>
      </w:r>
      <w:r w:rsidR="006D6B72" w:rsidRPr="007D7DAA">
        <w:rPr>
          <w:lang w:val="en-AU"/>
        </w:rPr>
        <w:t xml:space="preserve">frequency was balanced </w:t>
      </w:r>
      <w:r w:rsidR="003B3A11">
        <w:rPr>
          <w:lang w:val="en-AU"/>
        </w:rPr>
        <w:t>a</w:t>
      </w:r>
      <w:r w:rsidR="006B533A">
        <w:rPr>
          <w:lang w:val="en-AU"/>
        </w:rPr>
        <w:t xml:space="preserve">cross </w:t>
      </w:r>
      <w:r w:rsidR="006D6B72" w:rsidRPr="007D7DAA">
        <w:rPr>
          <w:lang w:val="en-AU"/>
        </w:rPr>
        <w:t xml:space="preserve">the </w:t>
      </w:r>
      <w:r w:rsidR="006B533A">
        <w:rPr>
          <w:lang w:val="en-AU"/>
        </w:rPr>
        <w:t xml:space="preserve">related and </w:t>
      </w:r>
      <w:r w:rsidR="006D6B72" w:rsidRPr="007D7DAA">
        <w:rPr>
          <w:lang w:val="en-AU"/>
        </w:rPr>
        <w:t xml:space="preserve">unrelated </w:t>
      </w:r>
      <w:r w:rsidR="006D6B72">
        <w:rPr>
          <w:lang w:val="en-AU"/>
        </w:rPr>
        <w:t>sentences</w:t>
      </w:r>
      <w:r w:rsidR="006D6B72" w:rsidRPr="007D7DAA">
        <w:rPr>
          <w:lang w:val="en-AU"/>
        </w:rPr>
        <w:t>.</w:t>
      </w:r>
      <w:r w:rsidR="00E016A3">
        <w:rPr>
          <w:lang w:val="en-AU"/>
        </w:rPr>
        <w:t xml:space="preserve"> To prevent syntactic priming, these pictured scenes were randomly interspersed with an</w:t>
      </w:r>
      <w:r w:rsidR="00E016A3" w:rsidRPr="007D7DAA">
        <w:rPr>
          <w:lang w:val="en-AU"/>
        </w:rPr>
        <w:t xml:space="preserve"> additional 6</w:t>
      </w:r>
      <w:r w:rsidR="006D6B72">
        <w:rPr>
          <w:lang w:val="en-AU"/>
        </w:rPr>
        <w:t>4</w:t>
      </w:r>
      <w:r w:rsidR="00E016A3" w:rsidRPr="007D7DAA">
        <w:rPr>
          <w:lang w:val="en-AU"/>
        </w:rPr>
        <w:t xml:space="preserve"> </w:t>
      </w:r>
      <w:r w:rsidR="00E016A3">
        <w:rPr>
          <w:lang w:val="en-AU"/>
        </w:rPr>
        <w:t>filler</w:t>
      </w:r>
      <w:r w:rsidR="00E016A3" w:rsidRPr="007D7DAA">
        <w:rPr>
          <w:lang w:val="en-AU"/>
        </w:rPr>
        <w:t xml:space="preserve"> pictures </w:t>
      </w:r>
      <w:r w:rsidR="00936A52">
        <w:rPr>
          <w:lang w:val="en-AU"/>
        </w:rPr>
        <w:t xml:space="preserve">of the kind used in </w:t>
      </w:r>
      <w:r w:rsidR="00DE36EF">
        <w:rPr>
          <w:lang w:val="en-AU"/>
        </w:rPr>
        <w:t>Experiment</w:t>
      </w:r>
      <w:r w:rsidR="00936A52">
        <w:rPr>
          <w:lang w:val="en-AU"/>
        </w:rPr>
        <w:t xml:space="preserve"> 1</w:t>
      </w:r>
      <w:r w:rsidR="00E016A3" w:rsidRPr="007D7DAA">
        <w:rPr>
          <w:lang w:val="en-AU"/>
        </w:rPr>
        <w:t xml:space="preserve">.  </w:t>
      </w:r>
    </w:p>
    <w:p w14:paraId="12C5E660" w14:textId="5F928D2D" w:rsidR="00E016A3" w:rsidRDefault="000E6442" w:rsidP="00AD12A3">
      <w:pPr>
        <w:spacing w:line="480" w:lineRule="auto"/>
        <w:ind w:firstLine="708"/>
        <w:rPr>
          <w:lang w:val="en-AU"/>
        </w:rPr>
      </w:pPr>
      <w:r>
        <w:rPr>
          <w:lang w:val="en-AU"/>
        </w:rPr>
        <w:t>Both</w:t>
      </w:r>
      <w:r w:rsidR="00E016A3">
        <w:rPr>
          <w:lang w:val="en-AU"/>
        </w:rPr>
        <w:t xml:space="preserve"> task</w:t>
      </w:r>
      <w:r>
        <w:rPr>
          <w:lang w:val="en-AU"/>
        </w:rPr>
        <w:t>s</w:t>
      </w:r>
      <w:r w:rsidR="006D6B72">
        <w:rPr>
          <w:lang w:val="en-AU"/>
        </w:rPr>
        <w:t xml:space="preserve"> </w:t>
      </w:r>
      <w:r>
        <w:rPr>
          <w:lang w:val="en-AU"/>
        </w:rPr>
        <w:t>were</w:t>
      </w:r>
      <w:r w:rsidR="00E016A3">
        <w:rPr>
          <w:lang w:val="en-AU"/>
        </w:rPr>
        <w:t xml:space="preserve"> administered as follows. First, participants completed a block of single picture naming trials in which they were asked to name </w:t>
      </w:r>
      <w:r w:rsidR="00AD12A3">
        <w:rPr>
          <w:lang w:val="en-AU"/>
        </w:rPr>
        <w:t xml:space="preserve">individual </w:t>
      </w:r>
      <w:r w:rsidR="00E016A3">
        <w:rPr>
          <w:lang w:val="en-AU"/>
        </w:rPr>
        <w:t>pictures that depicted the nouns used in the target sentences.</w:t>
      </w:r>
      <w:r w:rsidR="00E016A3" w:rsidRPr="007D7DAA">
        <w:rPr>
          <w:lang w:val="en-AU"/>
        </w:rPr>
        <w:t xml:space="preserve"> </w:t>
      </w:r>
      <w:r w:rsidR="0003113B">
        <w:rPr>
          <w:lang w:val="en-AU"/>
        </w:rPr>
        <w:t xml:space="preserve">Then, in a separate session, they </w:t>
      </w:r>
      <w:r w:rsidR="00E016A3">
        <w:rPr>
          <w:lang w:val="en-AU"/>
        </w:rPr>
        <w:t xml:space="preserve">completed the sentence task. They </w:t>
      </w:r>
      <w:r w:rsidR="00E016A3" w:rsidRPr="007D7DAA">
        <w:rPr>
          <w:lang w:val="en-AU"/>
        </w:rPr>
        <w:t>were</w:t>
      </w:r>
      <w:r w:rsidR="00151D53">
        <w:rPr>
          <w:lang w:val="en-AU"/>
        </w:rPr>
        <w:t xml:space="preserve"> instructed to</w:t>
      </w:r>
      <w:r w:rsidR="00E016A3" w:rsidRPr="007D7DAA">
        <w:rPr>
          <w:lang w:val="en-AU"/>
        </w:rPr>
        <w:t xml:space="preserve"> describe what was happening in each picture in one sentence. Each trial began with a fixation cross that remained </w:t>
      </w:r>
      <w:r w:rsidR="00936A52">
        <w:rPr>
          <w:lang w:val="en-AU"/>
        </w:rPr>
        <w:t>visible</w:t>
      </w:r>
      <w:r w:rsidR="00E016A3" w:rsidRPr="007D7DAA">
        <w:rPr>
          <w:lang w:val="en-AU"/>
        </w:rPr>
        <w:t xml:space="preserve"> for 1000ms, followed </w:t>
      </w:r>
      <w:r w:rsidR="00936A52">
        <w:rPr>
          <w:lang w:val="en-AU"/>
        </w:rPr>
        <w:t>by the</w:t>
      </w:r>
      <w:r w:rsidR="00E016A3" w:rsidRPr="007D7DAA">
        <w:rPr>
          <w:lang w:val="en-AU"/>
        </w:rPr>
        <w:t xml:space="preserve"> picture, accompanied by a tone. As soon as the participant began to vocalise their response, the experimenter manually pressed a key and the picture immediately disappeared from the screen. This was done in order to prevent a strategy of simple labelling of the pictured items, and also to promote advance planning of the entire sentence, thereby more closely replicating the demands of everyday speech.</w:t>
      </w:r>
      <w:r w:rsidR="00E016A3">
        <w:rPr>
          <w:lang w:val="en-AU"/>
        </w:rPr>
        <w:t xml:space="preserve"> However, patient </w:t>
      </w:r>
      <w:r w:rsidR="00E016A3" w:rsidRPr="007D7DAA">
        <w:rPr>
          <w:lang w:val="en-AU"/>
        </w:rPr>
        <w:t>SW was unable to produce any of the target sentences once the picture had disappeared from the screen, so the procedure was modified to enable her to view the picture throughout her response</w:t>
      </w:r>
      <w:r w:rsidR="00E016A3">
        <w:rPr>
          <w:lang w:val="en-AU"/>
        </w:rPr>
        <w:t xml:space="preserve">. </w:t>
      </w:r>
    </w:p>
    <w:p w14:paraId="6F50153B" w14:textId="117BDF21" w:rsidR="00E016A3" w:rsidRDefault="00E016A3" w:rsidP="00EC745E">
      <w:pPr>
        <w:spacing w:line="480" w:lineRule="auto"/>
        <w:ind w:firstLine="708"/>
        <w:rPr>
          <w:lang w:val="en-AU"/>
        </w:rPr>
      </w:pPr>
      <w:r>
        <w:rPr>
          <w:lang w:val="en-AU"/>
        </w:rPr>
        <w:t xml:space="preserve">Each participant completed </w:t>
      </w:r>
      <w:r w:rsidR="000E6442">
        <w:rPr>
          <w:lang w:val="en-AU"/>
        </w:rPr>
        <w:t>each</w:t>
      </w:r>
      <w:r>
        <w:rPr>
          <w:lang w:val="en-AU"/>
        </w:rPr>
        <w:t xml:space="preserve"> task three times in separate sessions, each time with the pictured scenes appearing in a different order, and each time preceded by eight practice items (for </w:t>
      </w:r>
      <w:r>
        <w:rPr>
          <w:lang w:val="en-AU"/>
        </w:rPr>
        <w:lastRenderedPageBreak/>
        <w:t>JHM and DA, who worked slowly and fatigued easily, the testing</w:t>
      </w:r>
      <w:r w:rsidRPr="007D7DAA">
        <w:rPr>
          <w:lang w:val="en-AU"/>
        </w:rPr>
        <w:t xml:space="preserve"> was spread over six sessions</w:t>
      </w:r>
      <w:r>
        <w:rPr>
          <w:lang w:val="en-AU"/>
        </w:rPr>
        <w:t>).</w:t>
      </w:r>
      <w:r w:rsidRPr="00C262E9">
        <w:rPr>
          <w:lang w:val="en-AU"/>
        </w:rPr>
        <w:t xml:space="preserve"> </w:t>
      </w:r>
      <w:r w:rsidR="00A32BC6" w:rsidRPr="00C262E9">
        <w:rPr>
          <w:lang w:val="en-AU"/>
        </w:rPr>
        <w:t>A response was scored as correct if it included the two target nouns and the target verb (or a permissible variant), and these were incorporated into a thematically and grammatically correct sentence. Where there was more than one attempt at the sentence, only the first attempt was scored.</w:t>
      </w:r>
      <w:r w:rsidR="00EC745E" w:rsidRPr="00C262E9">
        <w:rPr>
          <w:lang w:val="en-AU"/>
        </w:rPr>
        <w:t xml:space="preserve"> </w:t>
      </w:r>
      <w:r w:rsidR="00A32BC6" w:rsidRPr="00C262E9">
        <w:rPr>
          <w:lang w:val="en-AU"/>
        </w:rPr>
        <w:t xml:space="preserve">Each of the constituent nouns was also scored correct or incorrect. </w:t>
      </w:r>
      <w:r w:rsidR="00824F7A">
        <w:rPr>
          <w:lang w:val="en-AU"/>
        </w:rPr>
        <w:t>C</w:t>
      </w:r>
      <w:r w:rsidR="00FB6529" w:rsidRPr="00C262E9">
        <w:rPr>
          <w:lang w:val="en-AU"/>
        </w:rPr>
        <w:t>omplete omission</w:t>
      </w:r>
      <w:r w:rsidR="00FB6529">
        <w:rPr>
          <w:lang w:val="en-AU"/>
        </w:rPr>
        <w:t>s</w:t>
      </w:r>
      <w:r w:rsidR="00FB6529" w:rsidRPr="00C262E9">
        <w:rPr>
          <w:lang w:val="en-AU"/>
        </w:rPr>
        <w:t xml:space="preserve"> </w:t>
      </w:r>
      <w:r w:rsidR="00FB6529">
        <w:rPr>
          <w:lang w:val="en-AU"/>
        </w:rPr>
        <w:t>of</w:t>
      </w:r>
      <w:r w:rsidR="00FB6529" w:rsidRPr="00C262E9">
        <w:rPr>
          <w:lang w:val="en-AU"/>
        </w:rPr>
        <w:t xml:space="preserve"> the target noun or substitution of the noun with a pronoun (e.g., </w:t>
      </w:r>
      <w:r w:rsidR="00FB6529" w:rsidRPr="00C262E9">
        <w:rPr>
          <w:i/>
          <w:iCs/>
          <w:lang w:val="en-AU"/>
        </w:rPr>
        <w:t>it</w:t>
      </w:r>
      <w:r w:rsidR="00FB6529" w:rsidRPr="00C262E9">
        <w:rPr>
          <w:lang w:val="en-AU"/>
        </w:rPr>
        <w:t xml:space="preserve"> instead of </w:t>
      </w:r>
      <w:r w:rsidR="00FB6529" w:rsidRPr="00C262E9">
        <w:rPr>
          <w:i/>
          <w:iCs/>
          <w:lang w:val="en-AU"/>
        </w:rPr>
        <w:t>pig</w:t>
      </w:r>
      <w:r w:rsidR="00FB6529" w:rsidRPr="00C262E9">
        <w:rPr>
          <w:lang w:val="en-AU"/>
        </w:rPr>
        <w:t xml:space="preserve">) were counted as errors.  </w:t>
      </w:r>
    </w:p>
    <w:p w14:paraId="567B6C74" w14:textId="716CE904" w:rsidR="006E77B8" w:rsidRDefault="002C7746" w:rsidP="00824F7A">
      <w:pPr>
        <w:spacing w:line="480" w:lineRule="auto"/>
        <w:ind w:firstLine="720"/>
      </w:pPr>
      <w:r>
        <w:rPr>
          <w:b/>
          <w:bCs/>
          <w:lang w:val="en-AU"/>
        </w:rPr>
        <w:t xml:space="preserve">2.2.3. </w:t>
      </w:r>
      <w:r w:rsidR="00AE30DE" w:rsidRPr="00AE30DE">
        <w:rPr>
          <w:b/>
          <w:bCs/>
          <w:lang w:val="en-AU"/>
        </w:rPr>
        <w:t>Blocked cyclic naming task</w:t>
      </w:r>
      <w:r w:rsidR="00824F7A">
        <w:rPr>
          <w:b/>
          <w:bCs/>
          <w:lang w:val="en-AU"/>
        </w:rPr>
        <w:t xml:space="preserve"> (BCNT)</w:t>
      </w:r>
      <w:r w:rsidR="00AE30DE" w:rsidRPr="00AE30DE">
        <w:rPr>
          <w:b/>
          <w:bCs/>
          <w:lang w:val="en-AU"/>
        </w:rPr>
        <w:t>.</w:t>
      </w:r>
      <w:r w:rsidR="00AE30DE">
        <w:rPr>
          <w:lang w:val="en-AU"/>
        </w:rPr>
        <w:t xml:space="preserve"> </w:t>
      </w:r>
      <w:r w:rsidR="00824F7A">
        <w:rPr>
          <w:iCs/>
        </w:rPr>
        <w:t xml:space="preserve">This task was administered to participants within six months of the </w:t>
      </w:r>
      <w:r>
        <w:rPr>
          <w:iCs/>
        </w:rPr>
        <w:t>other</w:t>
      </w:r>
      <w:r w:rsidR="00824F7A">
        <w:rPr>
          <w:iCs/>
        </w:rPr>
        <w:t xml:space="preserve"> tasks.</w:t>
      </w:r>
      <w:r w:rsidR="00824F7A">
        <w:t xml:space="preserve"> </w:t>
      </w:r>
      <w:r w:rsidR="00AE30DE" w:rsidRPr="006E77B8">
        <w:rPr>
          <w:iCs/>
        </w:rPr>
        <w:t>Th</w:t>
      </w:r>
      <w:r w:rsidR="00824F7A">
        <w:rPr>
          <w:iCs/>
        </w:rPr>
        <w:t>e</w:t>
      </w:r>
      <w:r w:rsidR="00AE30DE" w:rsidRPr="006E77B8">
        <w:rPr>
          <w:iCs/>
        </w:rPr>
        <w:t xml:space="preserve"> </w:t>
      </w:r>
      <w:r w:rsidR="00824F7A">
        <w:rPr>
          <w:iCs/>
        </w:rPr>
        <w:t>task</w:t>
      </w:r>
      <w:r w:rsidR="00AE30DE" w:rsidRPr="006E77B8">
        <w:rPr>
          <w:iCs/>
        </w:rPr>
        <w:t xml:space="preserve"> is </w:t>
      </w:r>
      <w:r w:rsidR="00824F7A">
        <w:rPr>
          <w:iCs/>
        </w:rPr>
        <w:t>described in</w:t>
      </w:r>
      <w:r w:rsidR="00AE30DE" w:rsidRPr="006E77B8">
        <w:rPr>
          <w:iCs/>
        </w:rPr>
        <w:t xml:space="preserve"> Scott and Wilshire (2010)</w:t>
      </w:r>
      <w:r w:rsidR="00824F7A">
        <w:rPr>
          <w:iCs/>
        </w:rPr>
        <w:t xml:space="preserve">, </w:t>
      </w:r>
      <w:r w:rsidR="00AE30DE" w:rsidRPr="006E77B8">
        <w:rPr>
          <w:iCs/>
        </w:rPr>
        <w:t>and will only be summarised here.</w:t>
      </w:r>
      <w:r w:rsidR="00AE30DE">
        <w:rPr>
          <w:i/>
        </w:rPr>
        <w:t xml:space="preserve"> </w:t>
      </w:r>
      <w:r w:rsidR="00AE30DE" w:rsidRPr="000E26C3">
        <w:t xml:space="preserve">The stimuli </w:t>
      </w:r>
      <w:r w:rsidR="00AE30DE">
        <w:t>consisted of</w:t>
      </w:r>
      <w:r w:rsidR="006E77B8">
        <w:t xml:space="preserve"> 24 sets of six pictures</w:t>
      </w:r>
      <w:r w:rsidR="00AE30DE" w:rsidRPr="000E26C3">
        <w:t xml:space="preserve"> </w:t>
      </w:r>
      <w:r w:rsidR="0036275C">
        <w:t>depicting objects</w:t>
      </w:r>
      <w:r w:rsidR="004E1AC6">
        <w:t xml:space="preserve">, plants or </w:t>
      </w:r>
      <w:r w:rsidR="0036275C">
        <w:t>animals</w:t>
      </w:r>
      <w:r w:rsidR="00432489">
        <w:t xml:space="preserve">, all of which achieved </w:t>
      </w:r>
      <w:r w:rsidR="001E184F">
        <w:t>name</w:t>
      </w:r>
      <w:r w:rsidR="00432489">
        <w:t xml:space="preserve"> </w:t>
      </w:r>
      <w:r w:rsidR="004B545A">
        <w:t>agreement</w:t>
      </w:r>
      <w:r w:rsidR="00432489">
        <w:t xml:space="preserve"> of at least 80% when </w:t>
      </w:r>
      <w:r w:rsidR="008356E5">
        <w:t>presented</w:t>
      </w:r>
      <w:r w:rsidR="00432489">
        <w:t xml:space="preserve"> to healthy participants</w:t>
      </w:r>
      <w:r w:rsidR="0035063E">
        <w:t>. I</w:t>
      </w:r>
      <w:r w:rsidR="006E77B8">
        <w:t xml:space="preserve">n 12 </w:t>
      </w:r>
      <w:r w:rsidR="0036275C">
        <w:t xml:space="preserve">of the </w:t>
      </w:r>
      <w:r w:rsidR="006E77B8">
        <w:t>sets</w:t>
      </w:r>
      <w:r w:rsidR="0036275C">
        <w:t>,</w:t>
      </w:r>
      <w:r w:rsidR="006E77B8">
        <w:t xml:space="preserve"> the </w:t>
      </w:r>
      <w:r w:rsidR="0035063E">
        <w:t>items were</w:t>
      </w:r>
      <w:r w:rsidR="006E77B8">
        <w:t xml:space="preserve"> from the same semantic </w:t>
      </w:r>
      <w:r w:rsidR="0036275C">
        <w:t>category</w:t>
      </w:r>
      <w:r w:rsidR="006E77B8">
        <w:t xml:space="preserve"> (e.g., </w:t>
      </w:r>
      <w:r w:rsidR="009E3000">
        <w:t xml:space="preserve">all were </w:t>
      </w:r>
      <w:r w:rsidR="006E77B8">
        <w:t xml:space="preserve">animals, </w:t>
      </w:r>
      <w:r w:rsidR="009E3000">
        <w:t xml:space="preserve">or all were items of </w:t>
      </w:r>
      <w:r w:rsidR="0036275C">
        <w:t>furniture</w:t>
      </w:r>
      <w:r w:rsidR="006E77B8">
        <w:t>); in the remaining</w:t>
      </w:r>
      <w:r w:rsidR="00AE30DE" w:rsidRPr="000E26C3">
        <w:t xml:space="preserve"> 12 </w:t>
      </w:r>
      <w:r w:rsidR="006E77B8">
        <w:t>sets, the</w:t>
      </w:r>
      <w:r w:rsidR="0043731F">
        <w:t>y</w:t>
      </w:r>
      <w:r w:rsidR="006E77B8">
        <w:t xml:space="preserve"> were unrelated to each other. Each individual picture </w:t>
      </w:r>
      <w:r w:rsidR="0031675F">
        <w:t>was used</w:t>
      </w:r>
      <w:r w:rsidR="006E77B8">
        <w:t xml:space="preserve"> once in </w:t>
      </w:r>
      <w:r w:rsidR="0031675F">
        <w:t xml:space="preserve">a </w:t>
      </w:r>
      <w:r w:rsidR="006E77B8">
        <w:t xml:space="preserve">semantically related set and </w:t>
      </w:r>
      <w:r w:rsidR="0036275C">
        <w:t>once</w:t>
      </w:r>
      <w:r w:rsidR="006E77B8">
        <w:t xml:space="preserve"> in a</w:t>
      </w:r>
      <w:r w:rsidR="0031675F">
        <w:t>n</w:t>
      </w:r>
      <w:r w:rsidR="006E77B8">
        <w:t xml:space="preserve"> </w:t>
      </w:r>
      <w:r w:rsidR="0031675F">
        <w:t>un</w:t>
      </w:r>
      <w:r w:rsidR="006E77B8">
        <w:t>related set</w:t>
      </w:r>
      <w:r w:rsidR="00AE30DE" w:rsidRPr="000E26C3">
        <w:t xml:space="preserve">. </w:t>
      </w:r>
    </w:p>
    <w:p w14:paraId="54CC5C0C" w14:textId="2788DE62" w:rsidR="0035063E" w:rsidRDefault="0035063E" w:rsidP="00AE30DE">
      <w:pPr>
        <w:spacing w:line="480" w:lineRule="auto"/>
        <w:ind w:firstLine="720"/>
      </w:pPr>
      <w:r>
        <w:t>Each of</w:t>
      </w:r>
      <w:r w:rsidR="006E77B8">
        <w:t xml:space="preserve"> </w:t>
      </w:r>
      <w:r w:rsidR="0062133F">
        <w:t>these</w:t>
      </w:r>
      <w:r w:rsidR="006E77B8">
        <w:t xml:space="preserve"> </w:t>
      </w:r>
      <w:r w:rsidR="0036275C">
        <w:t>six-</w:t>
      </w:r>
      <w:r w:rsidR="006E77B8">
        <w:t>picture</w:t>
      </w:r>
      <w:r w:rsidR="00AE30DE">
        <w:t xml:space="preserve"> set</w:t>
      </w:r>
      <w:r w:rsidR="006E77B8">
        <w:t xml:space="preserve">s </w:t>
      </w:r>
      <w:r w:rsidR="00AE30DE" w:rsidRPr="000E26C3">
        <w:t xml:space="preserve">formed the basis for a single block of naming trials. In these blocks, each </w:t>
      </w:r>
      <w:r w:rsidR="0031675F">
        <w:t>picture</w:t>
      </w:r>
      <w:r w:rsidR="00AE30DE" w:rsidRPr="000E26C3">
        <w:t xml:space="preserve"> was presented </w:t>
      </w:r>
      <w:r w:rsidR="0031675F">
        <w:t>individually</w:t>
      </w:r>
      <w:r w:rsidR="00AE30DE" w:rsidRPr="000E26C3">
        <w:t xml:space="preserve">, then again in a different order, then again until the whole set had been cycled through four times. </w:t>
      </w:r>
      <w:r w:rsidR="00AE30DE">
        <w:t xml:space="preserve">Each </w:t>
      </w:r>
      <w:r w:rsidR="00CD63EE">
        <w:t>naming</w:t>
      </w:r>
      <w:r w:rsidR="00AE30DE">
        <w:t xml:space="preserve"> trial began with </w:t>
      </w:r>
      <w:r w:rsidR="00AE30DE" w:rsidRPr="000E26C3">
        <w:t>a warning beep, followed 100 ms later by the picture. The participant's response to the picture automatically triggered a voice activated timing device that initiated the next naming trial 700 ms later</w:t>
      </w:r>
      <w:r w:rsidR="00AE30DE">
        <w:t xml:space="preserve"> (</w:t>
      </w:r>
      <w:r w:rsidR="00AE30DE" w:rsidRPr="000E26C3">
        <w:t>thus</w:t>
      </w:r>
      <w:r w:rsidR="00AE30DE">
        <w:t>,</w:t>
      </w:r>
      <w:r w:rsidR="00AE30DE" w:rsidRPr="000E26C3">
        <w:t xml:space="preserve"> </w:t>
      </w:r>
      <w:r w:rsidR="00AE30DE">
        <w:t xml:space="preserve">the </w:t>
      </w:r>
      <w:r w:rsidR="0062133F">
        <w:t>response</w:t>
      </w:r>
      <w:r w:rsidR="000B72AC">
        <w:t xml:space="preserve"> </w:t>
      </w:r>
      <w:r w:rsidR="0062133F">
        <w:t>stimulus</w:t>
      </w:r>
      <w:r w:rsidR="000B72AC">
        <w:t xml:space="preserve"> interval</w:t>
      </w:r>
      <w:r w:rsidR="00AE30DE" w:rsidRPr="000E26C3">
        <w:t xml:space="preserve"> </w:t>
      </w:r>
      <w:r w:rsidR="00AE30DE">
        <w:t>was</w:t>
      </w:r>
      <w:r w:rsidR="00AE30DE" w:rsidRPr="000E26C3">
        <w:t xml:space="preserve"> 800ms</w:t>
      </w:r>
      <w:r w:rsidR="00AE30DE">
        <w:t>)</w:t>
      </w:r>
      <w:r w:rsidR="00AE30DE" w:rsidRPr="000E26C3">
        <w:t>.</w:t>
      </w:r>
      <w:r w:rsidR="006E77B8">
        <w:rPr>
          <w:i/>
        </w:rPr>
        <w:t xml:space="preserve"> </w:t>
      </w:r>
      <w:r w:rsidR="00AE30DE" w:rsidRPr="000E26C3">
        <w:t>The 24 blocks of naming trials were presented in pseudorandom order</w:t>
      </w:r>
      <w:r w:rsidR="00AE30DE">
        <w:t xml:space="preserve"> </w:t>
      </w:r>
      <w:r w:rsidR="00AE30DE" w:rsidRPr="000E26C3">
        <w:t xml:space="preserve">over two testing sessions. </w:t>
      </w:r>
    </w:p>
    <w:p w14:paraId="686FC2BF" w14:textId="4659DA4B" w:rsidR="00E466CD" w:rsidRDefault="00AE30DE" w:rsidP="00824F7A">
      <w:pPr>
        <w:spacing w:line="480" w:lineRule="auto"/>
        <w:ind w:firstLine="720"/>
        <w:rPr>
          <w:iCs/>
        </w:rPr>
      </w:pPr>
      <w:r w:rsidRPr="000E26C3">
        <w:t>Prior to the task proper</w:t>
      </w:r>
      <w:r w:rsidR="00B30BB1">
        <w:t xml:space="preserve"> (and in a separate session)</w:t>
      </w:r>
      <w:r w:rsidRPr="000E26C3">
        <w:t xml:space="preserve">, participants completed a standard naming task featuring the 72 picture targets that would subsequently appear in the experiment. </w:t>
      </w:r>
      <w:r w:rsidR="00B30BB1">
        <w:t xml:space="preserve">If they produced any errors or alternative names (e.g., </w:t>
      </w:r>
      <w:r w:rsidR="00B30BB1" w:rsidRPr="00B30BB1">
        <w:rPr>
          <w:i/>
          <w:iCs/>
        </w:rPr>
        <w:t>crescent</w:t>
      </w:r>
      <w:r w:rsidR="00B30BB1">
        <w:t xml:space="preserve"> for </w:t>
      </w:r>
      <w:r w:rsidR="00B30BB1" w:rsidRPr="00B30BB1">
        <w:rPr>
          <w:i/>
          <w:iCs/>
        </w:rPr>
        <w:t>moon</w:t>
      </w:r>
      <w:r w:rsidR="00B30BB1">
        <w:t xml:space="preserve">), they were told what </w:t>
      </w:r>
      <w:r w:rsidR="00432489">
        <w:t>name was usually given to the picture.</w:t>
      </w:r>
      <w:r w:rsidR="00824F7A">
        <w:t xml:space="preserve"> A naming trial was scored as correct if</w:t>
      </w:r>
      <w:r w:rsidR="00E466CD" w:rsidRPr="002225DA">
        <w:rPr>
          <w:iCs/>
        </w:rPr>
        <w:t xml:space="preserve"> </w:t>
      </w:r>
      <w:r w:rsidR="00E466CD">
        <w:rPr>
          <w:iCs/>
        </w:rPr>
        <w:t>the first response</w:t>
      </w:r>
      <w:r w:rsidR="00E466CD" w:rsidRPr="002225DA">
        <w:rPr>
          <w:iCs/>
        </w:rPr>
        <w:t xml:space="preserve"> </w:t>
      </w:r>
      <w:r w:rsidR="00824F7A">
        <w:rPr>
          <w:iCs/>
        </w:rPr>
        <w:t>provided was the target noun</w:t>
      </w:r>
      <w:r w:rsidR="00E466CD">
        <w:rPr>
          <w:iCs/>
        </w:rPr>
        <w:t>. Th</w:t>
      </w:r>
      <w:r w:rsidR="00432489">
        <w:rPr>
          <w:iCs/>
        </w:rPr>
        <w:t xml:space="preserve">e </w:t>
      </w:r>
      <w:r w:rsidR="00DC4DAD">
        <w:rPr>
          <w:iCs/>
        </w:rPr>
        <w:t>only</w:t>
      </w:r>
      <w:r w:rsidR="00E466CD">
        <w:rPr>
          <w:iCs/>
        </w:rPr>
        <w:t xml:space="preserve"> exception was when a </w:t>
      </w:r>
      <w:r w:rsidR="00B30BB1">
        <w:rPr>
          <w:iCs/>
        </w:rPr>
        <w:t>participant systematically and consistently use</w:t>
      </w:r>
      <w:r w:rsidR="00432489">
        <w:rPr>
          <w:iCs/>
        </w:rPr>
        <w:t xml:space="preserve">d a permissible </w:t>
      </w:r>
      <w:r w:rsidR="00885CA7">
        <w:rPr>
          <w:iCs/>
        </w:rPr>
        <w:t>alternative</w:t>
      </w:r>
      <w:r w:rsidR="00D71BBB">
        <w:rPr>
          <w:iCs/>
        </w:rPr>
        <w:t xml:space="preserve"> throughout </w:t>
      </w:r>
      <w:r w:rsidR="00824F7A">
        <w:rPr>
          <w:iCs/>
        </w:rPr>
        <w:t xml:space="preserve">all </w:t>
      </w:r>
      <w:r w:rsidR="00D71BBB">
        <w:rPr>
          <w:iCs/>
        </w:rPr>
        <w:t xml:space="preserve">naming </w:t>
      </w:r>
      <w:r w:rsidR="00105A4F">
        <w:rPr>
          <w:iCs/>
        </w:rPr>
        <w:t>trials</w:t>
      </w:r>
      <w:r w:rsidR="00D71BBB">
        <w:rPr>
          <w:iCs/>
        </w:rPr>
        <w:t xml:space="preserve"> (for example, </w:t>
      </w:r>
      <w:r w:rsidR="0083397E">
        <w:rPr>
          <w:i/>
        </w:rPr>
        <w:t>mare</w:t>
      </w:r>
      <w:r w:rsidR="00D71BBB">
        <w:rPr>
          <w:iCs/>
        </w:rPr>
        <w:t xml:space="preserve"> for </w:t>
      </w:r>
      <w:r w:rsidR="0083397E">
        <w:rPr>
          <w:i/>
        </w:rPr>
        <w:t>horse</w:t>
      </w:r>
      <w:r w:rsidR="00D71BBB">
        <w:rPr>
          <w:iCs/>
        </w:rPr>
        <w:t>)</w:t>
      </w:r>
      <w:r w:rsidR="005B7578">
        <w:rPr>
          <w:iCs/>
        </w:rPr>
        <w:t>.</w:t>
      </w:r>
    </w:p>
    <w:p w14:paraId="6E4B6560" w14:textId="77AC9FE1" w:rsidR="00E016A3" w:rsidRDefault="002C7746" w:rsidP="00E016A3">
      <w:pPr>
        <w:autoSpaceDE w:val="0"/>
        <w:autoSpaceDN w:val="0"/>
        <w:adjustRightInd w:val="0"/>
        <w:spacing w:line="480" w:lineRule="auto"/>
        <w:rPr>
          <w:b/>
          <w:color w:val="000000"/>
          <w:lang w:val="en-AU"/>
        </w:rPr>
      </w:pPr>
      <w:r>
        <w:rPr>
          <w:b/>
          <w:color w:val="000000"/>
          <w:lang w:val="en-AU"/>
        </w:rPr>
        <w:lastRenderedPageBreak/>
        <w:t xml:space="preserve">2.3. </w:t>
      </w:r>
      <w:r w:rsidR="00E016A3">
        <w:rPr>
          <w:b/>
          <w:color w:val="000000"/>
          <w:lang w:val="en-AU"/>
        </w:rPr>
        <w:t>Behavioural m</w:t>
      </w:r>
      <w:r w:rsidR="00E016A3" w:rsidRPr="004135EA">
        <w:rPr>
          <w:b/>
          <w:color w:val="000000"/>
          <w:lang w:val="en-AU"/>
        </w:rPr>
        <w:t>easures</w:t>
      </w:r>
      <w:r w:rsidR="00E016A3">
        <w:rPr>
          <w:b/>
          <w:color w:val="000000"/>
          <w:lang w:val="en-AU"/>
        </w:rPr>
        <w:t xml:space="preserve"> obtained</w:t>
      </w:r>
    </w:p>
    <w:p w14:paraId="5D7D1846" w14:textId="2852E2AD" w:rsidR="00E016A3" w:rsidRPr="00ED6423" w:rsidRDefault="00267677" w:rsidP="00E016A3">
      <w:pPr>
        <w:autoSpaceDE w:val="0"/>
        <w:autoSpaceDN w:val="0"/>
        <w:adjustRightInd w:val="0"/>
        <w:spacing w:line="480" w:lineRule="auto"/>
        <w:ind w:firstLine="720"/>
        <w:rPr>
          <w:bCs/>
          <w:color w:val="000000"/>
          <w:lang w:val="en-AU"/>
        </w:rPr>
      </w:pPr>
      <w:r>
        <w:rPr>
          <w:bCs/>
          <w:color w:val="000000"/>
          <w:lang w:val="en-AU"/>
        </w:rPr>
        <w:t>W</w:t>
      </w:r>
      <w:r w:rsidR="00E016A3">
        <w:rPr>
          <w:bCs/>
          <w:color w:val="000000"/>
          <w:lang w:val="en-AU"/>
        </w:rPr>
        <w:t>e calculated the following measures</w:t>
      </w:r>
      <w:r w:rsidR="00653021">
        <w:rPr>
          <w:bCs/>
          <w:color w:val="000000"/>
          <w:lang w:val="en-AU"/>
        </w:rPr>
        <w:t xml:space="preserve"> for each participant:</w:t>
      </w:r>
    </w:p>
    <w:p w14:paraId="1F33A46C" w14:textId="63EA37F8" w:rsidR="00042D59" w:rsidRDefault="00042D59" w:rsidP="00463838">
      <w:pPr>
        <w:spacing w:line="480" w:lineRule="auto"/>
        <w:ind w:firstLine="720"/>
        <w:rPr>
          <w:bCs/>
          <w:i/>
          <w:color w:val="000000"/>
          <w:lang w:val="en-AU"/>
        </w:rPr>
      </w:pPr>
      <w:r>
        <w:rPr>
          <w:bCs/>
          <w:i/>
          <w:color w:val="000000"/>
          <w:lang w:val="en-AU"/>
        </w:rPr>
        <w:t xml:space="preserve">1. </w:t>
      </w:r>
      <w:r w:rsidR="00E43965">
        <w:rPr>
          <w:bCs/>
          <w:i/>
          <w:color w:val="000000"/>
          <w:lang w:val="en-AU"/>
        </w:rPr>
        <w:t>Proportion</w:t>
      </w:r>
      <w:r>
        <w:rPr>
          <w:bCs/>
          <w:i/>
          <w:color w:val="000000"/>
          <w:lang w:val="en-AU"/>
        </w:rPr>
        <w:t xml:space="preserve"> of </w:t>
      </w:r>
      <w:r w:rsidR="000F3A33">
        <w:rPr>
          <w:bCs/>
          <w:i/>
          <w:color w:val="000000"/>
          <w:lang w:val="en-AU"/>
        </w:rPr>
        <w:t>c</w:t>
      </w:r>
      <w:r>
        <w:rPr>
          <w:bCs/>
          <w:i/>
          <w:color w:val="000000"/>
          <w:lang w:val="en-AU"/>
        </w:rPr>
        <w:t>losed class items.</w:t>
      </w:r>
      <w:r w:rsidR="003616D4">
        <w:rPr>
          <w:bCs/>
          <w:i/>
          <w:color w:val="000000"/>
          <w:lang w:val="en-AU"/>
        </w:rPr>
        <w:t xml:space="preserve"> </w:t>
      </w:r>
      <w:r w:rsidR="00A133F0">
        <w:rPr>
          <w:lang w:val="en-AU"/>
        </w:rPr>
        <w:t>Based on the sample of narrative speech collected using the</w:t>
      </w:r>
      <w:r w:rsidR="00463838">
        <w:rPr>
          <w:lang w:val="en-AU"/>
        </w:rPr>
        <w:t xml:space="preserve"> </w:t>
      </w:r>
      <w:r w:rsidR="003616D4" w:rsidRPr="00042D59">
        <w:rPr>
          <w:lang w:val="en-AU"/>
        </w:rPr>
        <w:t>QPA protocol</w:t>
      </w:r>
      <w:r w:rsidR="00A133F0">
        <w:rPr>
          <w:lang w:val="en-AU"/>
        </w:rPr>
        <w:t xml:space="preserve"> (the retelling of a fairy tale), we</w:t>
      </w:r>
      <w:r w:rsidR="00463838">
        <w:rPr>
          <w:lang w:val="en-AU"/>
        </w:rPr>
        <w:t xml:space="preserve"> calculate</w:t>
      </w:r>
      <w:r w:rsidR="00A133F0">
        <w:rPr>
          <w:lang w:val="en-AU"/>
        </w:rPr>
        <w:t>d</w:t>
      </w:r>
      <w:r w:rsidR="00463838">
        <w:rPr>
          <w:lang w:val="en-AU"/>
        </w:rPr>
        <w:t xml:space="preserve"> the </w:t>
      </w:r>
      <w:r w:rsidR="003616D4" w:rsidRPr="00042D59">
        <w:rPr>
          <w:lang w:val="en-AU"/>
        </w:rPr>
        <w:t>propo</w:t>
      </w:r>
      <w:r w:rsidR="003616D4">
        <w:rPr>
          <w:lang w:val="en-AU"/>
        </w:rPr>
        <w:t>rtion</w:t>
      </w:r>
      <w:r w:rsidR="003616D4" w:rsidRPr="00042D59">
        <w:rPr>
          <w:lang w:val="en-AU"/>
        </w:rPr>
        <w:t xml:space="preserve"> of closed class items</w:t>
      </w:r>
      <w:r w:rsidR="00A133F0">
        <w:rPr>
          <w:lang w:val="en-AU"/>
        </w:rPr>
        <w:t xml:space="preserve">, as specified in </w:t>
      </w:r>
      <w:r w:rsidR="00121A52">
        <w:rPr>
          <w:lang w:val="en-AU"/>
        </w:rPr>
        <w:t>that</w:t>
      </w:r>
      <w:r w:rsidR="00A133F0">
        <w:rPr>
          <w:lang w:val="en-AU"/>
        </w:rPr>
        <w:t xml:space="preserve"> protocol</w:t>
      </w:r>
      <w:r w:rsidR="000F3A33">
        <w:rPr>
          <w:lang w:val="en-AU"/>
        </w:rPr>
        <w:t>.</w:t>
      </w:r>
      <w:r w:rsidR="00463838">
        <w:rPr>
          <w:lang w:val="en-AU"/>
        </w:rPr>
        <w:t xml:space="preserve"> </w:t>
      </w:r>
    </w:p>
    <w:p w14:paraId="4518CACC" w14:textId="67EAE4D7" w:rsidR="00042D59" w:rsidRDefault="00042D59" w:rsidP="00E016A3">
      <w:pPr>
        <w:autoSpaceDE w:val="0"/>
        <w:autoSpaceDN w:val="0"/>
        <w:adjustRightInd w:val="0"/>
        <w:spacing w:line="480" w:lineRule="auto"/>
        <w:ind w:firstLine="720"/>
        <w:rPr>
          <w:bCs/>
          <w:i/>
          <w:color w:val="000000"/>
          <w:lang w:val="en-AU"/>
        </w:rPr>
      </w:pPr>
      <w:r>
        <w:rPr>
          <w:bCs/>
          <w:i/>
          <w:color w:val="000000"/>
          <w:lang w:val="en-AU"/>
        </w:rPr>
        <w:t>2. Speech rate.</w:t>
      </w:r>
      <w:r w:rsidR="00463838">
        <w:rPr>
          <w:bCs/>
          <w:i/>
          <w:color w:val="000000"/>
          <w:lang w:val="en-AU"/>
        </w:rPr>
        <w:t xml:space="preserve"> </w:t>
      </w:r>
      <w:r w:rsidR="006134DA">
        <w:rPr>
          <w:bCs/>
          <w:iCs/>
          <w:color w:val="000000"/>
          <w:lang w:val="en-AU"/>
        </w:rPr>
        <w:t>Again,</w:t>
      </w:r>
      <w:r w:rsidR="00463838">
        <w:rPr>
          <w:bCs/>
          <w:iCs/>
          <w:color w:val="000000"/>
          <w:lang w:val="en-AU"/>
        </w:rPr>
        <w:t xml:space="preserve"> using </w:t>
      </w:r>
      <w:r w:rsidR="00463838" w:rsidRPr="00042D59">
        <w:rPr>
          <w:lang w:val="en-AU"/>
        </w:rPr>
        <w:t>the QPA</w:t>
      </w:r>
      <w:r w:rsidR="00A133F0">
        <w:rPr>
          <w:lang w:val="en-AU"/>
        </w:rPr>
        <w:t xml:space="preserve"> narrative speech sample and its associated scoring protocol</w:t>
      </w:r>
      <w:r w:rsidR="00463838">
        <w:rPr>
          <w:lang w:val="en-AU"/>
        </w:rPr>
        <w:t>, we calculated the</w:t>
      </w:r>
      <w:r w:rsidR="00463838" w:rsidRPr="00042D59">
        <w:rPr>
          <w:lang w:val="en-AU"/>
        </w:rPr>
        <w:t xml:space="preserve"> </w:t>
      </w:r>
      <w:r w:rsidR="00463838">
        <w:rPr>
          <w:lang w:val="en-AU"/>
        </w:rPr>
        <w:t>rate of speech in words pe</w:t>
      </w:r>
      <w:r w:rsidR="000F3A33">
        <w:rPr>
          <w:lang w:val="en-AU"/>
        </w:rPr>
        <w:t>r</w:t>
      </w:r>
      <w:r w:rsidR="00463838">
        <w:rPr>
          <w:lang w:val="en-AU"/>
        </w:rPr>
        <w:t xml:space="preserve"> minute. </w:t>
      </w:r>
    </w:p>
    <w:p w14:paraId="56CB2972" w14:textId="35B660C2" w:rsidR="004D6E9F" w:rsidRDefault="004D6E9F" w:rsidP="00445AA8">
      <w:pPr>
        <w:autoSpaceDE w:val="0"/>
        <w:autoSpaceDN w:val="0"/>
        <w:adjustRightInd w:val="0"/>
        <w:spacing w:line="480" w:lineRule="auto"/>
        <w:ind w:firstLine="720"/>
        <w:rPr>
          <w:bCs/>
          <w:i/>
          <w:color w:val="000000"/>
          <w:lang w:val="en-AU"/>
        </w:rPr>
      </w:pPr>
      <w:r>
        <w:rPr>
          <w:bCs/>
          <w:i/>
          <w:color w:val="000000"/>
          <w:lang w:val="en-AU"/>
        </w:rPr>
        <w:t xml:space="preserve">3. </w:t>
      </w:r>
      <w:r w:rsidR="005A57D8">
        <w:rPr>
          <w:bCs/>
          <w:i/>
          <w:color w:val="000000"/>
          <w:lang w:val="en-AU"/>
        </w:rPr>
        <w:t>A</w:t>
      </w:r>
      <w:r>
        <w:rPr>
          <w:bCs/>
          <w:i/>
          <w:color w:val="000000"/>
          <w:lang w:val="en-AU"/>
        </w:rPr>
        <w:t>rticulatory agility.</w:t>
      </w:r>
      <w:r w:rsidR="005A57D8" w:rsidRPr="00C938CF">
        <w:rPr>
          <w:bCs/>
          <w:iCs/>
          <w:color w:val="000000"/>
          <w:lang w:val="en-AU"/>
        </w:rPr>
        <w:t xml:space="preserve"> </w:t>
      </w:r>
      <w:r w:rsidR="00A133F0">
        <w:rPr>
          <w:bCs/>
          <w:iCs/>
          <w:color w:val="000000"/>
          <w:lang w:val="en-AU"/>
        </w:rPr>
        <w:t>We rated the</w:t>
      </w:r>
      <w:r w:rsidR="005A57D8" w:rsidRPr="00C938CF">
        <w:rPr>
          <w:bCs/>
          <w:iCs/>
          <w:color w:val="000000"/>
          <w:lang w:val="en-AU"/>
        </w:rPr>
        <w:t xml:space="preserve"> </w:t>
      </w:r>
      <w:r w:rsidR="006134DA" w:rsidRPr="00C938CF">
        <w:rPr>
          <w:bCs/>
          <w:iCs/>
          <w:color w:val="000000"/>
          <w:lang w:val="en-AU"/>
        </w:rPr>
        <w:t>articulatory</w:t>
      </w:r>
      <w:r w:rsidR="005A57D8" w:rsidRPr="00C938CF">
        <w:rPr>
          <w:bCs/>
          <w:iCs/>
          <w:color w:val="000000"/>
          <w:lang w:val="en-AU"/>
        </w:rPr>
        <w:t xml:space="preserve"> </w:t>
      </w:r>
      <w:r w:rsidR="00A133F0">
        <w:rPr>
          <w:bCs/>
          <w:iCs/>
          <w:color w:val="000000"/>
          <w:lang w:val="en-AU"/>
        </w:rPr>
        <w:t>quality</w:t>
      </w:r>
      <w:r w:rsidR="005A57D8" w:rsidRPr="00C938CF">
        <w:rPr>
          <w:bCs/>
          <w:iCs/>
          <w:color w:val="000000"/>
          <w:lang w:val="en-AU"/>
        </w:rPr>
        <w:t xml:space="preserve"> </w:t>
      </w:r>
      <w:r w:rsidR="00A133F0">
        <w:rPr>
          <w:bCs/>
          <w:iCs/>
          <w:color w:val="000000"/>
          <w:lang w:val="en-AU"/>
        </w:rPr>
        <w:t xml:space="preserve">of the sample </w:t>
      </w:r>
      <w:r w:rsidR="00121A52">
        <w:rPr>
          <w:bCs/>
          <w:iCs/>
          <w:color w:val="000000"/>
          <w:lang w:val="en-AU"/>
        </w:rPr>
        <w:t xml:space="preserve">of open-ended speech </w:t>
      </w:r>
      <w:r w:rsidR="006134DA">
        <w:rPr>
          <w:bCs/>
          <w:iCs/>
          <w:color w:val="000000"/>
          <w:lang w:val="en-AU"/>
        </w:rPr>
        <w:t>collected</w:t>
      </w:r>
      <w:r w:rsidR="00A133F0">
        <w:rPr>
          <w:bCs/>
          <w:iCs/>
          <w:color w:val="000000"/>
          <w:lang w:val="en-AU"/>
        </w:rPr>
        <w:t xml:space="preserve"> </w:t>
      </w:r>
      <w:r w:rsidR="006134DA" w:rsidRPr="00C938CF">
        <w:rPr>
          <w:bCs/>
          <w:iCs/>
          <w:color w:val="000000"/>
          <w:lang w:val="en-AU"/>
        </w:rPr>
        <w:t>using</w:t>
      </w:r>
      <w:r w:rsidR="005A57D8" w:rsidRPr="00C938CF">
        <w:rPr>
          <w:bCs/>
          <w:iCs/>
          <w:color w:val="000000"/>
          <w:lang w:val="en-AU"/>
        </w:rPr>
        <w:t xml:space="preserve"> the BDA</w:t>
      </w:r>
      <w:r w:rsidR="000F3A33">
        <w:rPr>
          <w:bCs/>
          <w:iCs/>
          <w:color w:val="000000"/>
          <w:lang w:val="en-AU"/>
        </w:rPr>
        <w:t>E</w:t>
      </w:r>
      <w:r w:rsidR="005A57D8" w:rsidRPr="00C938CF">
        <w:rPr>
          <w:bCs/>
          <w:iCs/>
          <w:color w:val="000000"/>
          <w:lang w:val="en-AU"/>
        </w:rPr>
        <w:t xml:space="preserve"> </w:t>
      </w:r>
      <w:r w:rsidR="00A133F0">
        <w:rPr>
          <w:bCs/>
          <w:iCs/>
          <w:color w:val="000000"/>
          <w:lang w:val="en-AU"/>
        </w:rPr>
        <w:t xml:space="preserve">protocol </w:t>
      </w:r>
      <w:r w:rsidR="005A57D8" w:rsidRPr="00C938CF">
        <w:rPr>
          <w:bCs/>
          <w:iCs/>
          <w:color w:val="000000"/>
          <w:lang w:val="en-AU"/>
        </w:rPr>
        <w:t>(</w:t>
      </w:r>
      <w:r w:rsidR="005A57D8" w:rsidRPr="00C938CF">
        <w:rPr>
          <w:iCs/>
          <w:lang w:val="en-AU"/>
        </w:rPr>
        <w:t xml:space="preserve">Goodglass et al., 2001). </w:t>
      </w:r>
      <w:r w:rsidR="00445AA8">
        <w:rPr>
          <w:lang w:val="en-AU"/>
        </w:rPr>
        <w:t>Th</w:t>
      </w:r>
      <w:r w:rsidR="00A133F0">
        <w:rPr>
          <w:lang w:val="en-AU"/>
        </w:rPr>
        <w:t>is</w:t>
      </w:r>
      <w:r w:rsidR="00445AA8">
        <w:rPr>
          <w:lang w:val="en-AU"/>
        </w:rPr>
        <w:t xml:space="preserve"> </w:t>
      </w:r>
      <w:r w:rsidR="00A133F0">
        <w:rPr>
          <w:lang w:val="en-AU"/>
        </w:rPr>
        <w:t xml:space="preserve">protocol </w:t>
      </w:r>
      <w:r w:rsidR="006134DA">
        <w:rPr>
          <w:lang w:val="en-AU"/>
        </w:rPr>
        <w:t>instructs</w:t>
      </w:r>
      <w:r w:rsidR="00A133F0">
        <w:rPr>
          <w:lang w:val="en-AU"/>
        </w:rPr>
        <w:t xml:space="preserve"> the </w:t>
      </w:r>
      <w:r w:rsidR="00445AA8">
        <w:rPr>
          <w:lang w:val="en-AU"/>
        </w:rPr>
        <w:t>rater to</w:t>
      </w:r>
      <w:r w:rsidR="005A57D8">
        <w:rPr>
          <w:lang w:val="en-AU"/>
        </w:rPr>
        <w:t xml:space="preserve"> note instances where </w:t>
      </w:r>
      <w:r w:rsidR="00445AA8">
        <w:rPr>
          <w:lang w:val="en-AU"/>
        </w:rPr>
        <w:t xml:space="preserve">the person’s </w:t>
      </w:r>
      <w:r w:rsidR="005A57D8">
        <w:rPr>
          <w:lang w:val="en-AU"/>
        </w:rPr>
        <w:t xml:space="preserve">articulation </w:t>
      </w:r>
      <w:r w:rsidR="00445AA8">
        <w:rPr>
          <w:lang w:val="en-AU"/>
        </w:rPr>
        <w:t>sound</w:t>
      </w:r>
      <w:r w:rsidR="00936A52">
        <w:rPr>
          <w:lang w:val="en-AU"/>
        </w:rPr>
        <w:t>ed</w:t>
      </w:r>
      <w:r w:rsidR="005A57D8">
        <w:rPr>
          <w:lang w:val="en-AU"/>
        </w:rPr>
        <w:t xml:space="preserve"> </w:t>
      </w:r>
      <w:r w:rsidR="00445AA8">
        <w:rPr>
          <w:lang w:val="en-AU"/>
        </w:rPr>
        <w:t xml:space="preserve">distorted, </w:t>
      </w:r>
      <w:r w:rsidR="005A57D8">
        <w:rPr>
          <w:lang w:val="en-AU"/>
        </w:rPr>
        <w:t xml:space="preserve">clumsy </w:t>
      </w:r>
      <w:r w:rsidR="00445AA8">
        <w:rPr>
          <w:lang w:val="en-AU"/>
        </w:rPr>
        <w:t>or</w:t>
      </w:r>
      <w:r w:rsidR="005A57D8">
        <w:rPr>
          <w:lang w:val="en-AU"/>
        </w:rPr>
        <w:t xml:space="preserve"> effortful. </w:t>
      </w:r>
      <w:r w:rsidR="00445AA8">
        <w:rPr>
          <w:lang w:val="en-AU"/>
        </w:rPr>
        <w:t xml:space="preserve">The final rating is based on </w:t>
      </w:r>
      <w:r w:rsidR="00A133F0">
        <w:rPr>
          <w:lang w:val="en-AU"/>
        </w:rPr>
        <w:t>the frequency of</w:t>
      </w:r>
      <w:r w:rsidR="00445AA8">
        <w:rPr>
          <w:lang w:val="en-AU"/>
        </w:rPr>
        <w:t xml:space="preserve"> such </w:t>
      </w:r>
      <w:r w:rsidR="006134DA">
        <w:rPr>
          <w:lang w:val="en-AU"/>
        </w:rPr>
        <w:t>abnormalities</w:t>
      </w:r>
      <w:r w:rsidR="00445AA8">
        <w:rPr>
          <w:lang w:val="en-AU"/>
        </w:rPr>
        <w:t xml:space="preserve">. Ratings were obtained by an experienced </w:t>
      </w:r>
      <w:r w:rsidR="00C938CF">
        <w:rPr>
          <w:lang w:val="en-AU"/>
        </w:rPr>
        <w:t>assessor</w:t>
      </w:r>
      <w:r w:rsidR="00445AA8">
        <w:rPr>
          <w:lang w:val="en-AU"/>
        </w:rPr>
        <w:t xml:space="preserve"> (CW)</w:t>
      </w:r>
      <w:r w:rsidR="00445AA8">
        <w:rPr>
          <w:bCs/>
          <w:i/>
          <w:color w:val="000000"/>
          <w:lang w:val="en-AU"/>
        </w:rPr>
        <w:t>.</w:t>
      </w:r>
      <w:r w:rsidR="00C938CF" w:rsidRPr="00C938CF">
        <w:rPr>
          <w:bCs/>
          <w:iCs/>
          <w:color w:val="000000"/>
          <w:lang w:val="en-AU"/>
        </w:rPr>
        <w:t xml:space="preserve"> The values used in our </w:t>
      </w:r>
      <w:r w:rsidR="006134DA" w:rsidRPr="00C938CF">
        <w:rPr>
          <w:bCs/>
          <w:iCs/>
          <w:color w:val="000000"/>
          <w:lang w:val="en-AU"/>
        </w:rPr>
        <w:t>analyses</w:t>
      </w:r>
      <w:r w:rsidR="00C938CF" w:rsidRPr="00C938CF">
        <w:rPr>
          <w:bCs/>
          <w:iCs/>
          <w:color w:val="000000"/>
          <w:lang w:val="en-AU"/>
        </w:rPr>
        <w:t xml:space="preserve"> were the scaled scores.</w:t>
      </w:r>
    </w:p>
    <w:p w14:paraId="4B01D698" w14:textId="1FF39664" w:rsidR="00D56643" w:rsidRPr="00826504" w:rsidRDefault="004D6E9F" w:rsidP="00E016A3">
      <w:pPr>
        <w:autoSpaceDE w:val="0"/>
        <w:autoSpaceDN w:val="0"/>
        <w:adjustRightInd w:val="0"/>
        <w:spacing w:line="480" w:lineRule="auto"/>
        <w:ind w:firstLine="720"/>
        <w:rPr>
          <w:bCs/>
          <w:iCs/>
          <w:color w:val="000000"/>
          <w:lang w:val="en-AU"/>
        </w:rPr>
      </w:pPr>
      <w:r>
        <w:rPr>
          <w:bCs/>
          <w:i/>
          <w:color w:val="000000"/>
          <w:lang w:val="en-AU"/>
        </w:rPr>
        <w:t>4</w:t>
      </w:r>
      <w:r w:rsidR="00E016A3" w:rsidRPr="00E365EE">
        <w:rPr>
          <w:bCs/>
          <w:i/>
          <w:color w:val="000000"/>
          <w:lang w:val="en-AU"/>
        </w:rPr>
        <w:t xml:space="preserve">. </w:t>
      </w:r>
      <w:r w:rsidR="000B5C2C">
        <w:rPr>
          <w:bCs/>
          <w:i/>
          <w:color w:val="000000"/>
          <w:lang w:val="en-AU"/>
        </w:rPr>
        <w:t>Sentence context effect</w:t>
      </w:r>
      <w:r w:rsidR="00CE1ABF">
        <w:rPr>
          <w:bCs/>
          <w:i/>
          <w:color w:val="000000"/>
          <w:lang w:val="en-AU"/>
        </w:rPr>
        <w:t xml:space="preserve">. </w:t>
      </w:r>
      <w:r w:rsidR="00972939">
        <w:rPr>
          <w:bCs/>
          <w:iCs/>
          <w:color w:val="000000"/>
          <w:lang w:val="en-AU"/>
        </w:rPr>
        <w:t>Using responses from Speer and Wilshire</w:t>
      </w:r>
      <w:r w:rsidR="00BB5195">
        <w:rPr>
          <w:bCs/>
          <w:iCs/>
          <w:color w:val="000000"/>
          <w:lang w:val="en-AU"/>
        </w:rPr>
        <w:t>’s</w:t>
      </w:r>
      <w:r w:rsidR="00972939">
        <w:rPr>
          <w:bCs/>
          <w:iCs/>
          <w:color w:val="000000"/>
          <w:lang w:val="en-AU"/>
        </w:rPr>
        <w:t xml:space="preserve"> </w:t>
      </w:r>
      <w:r w:rsidR="00BB5195">
        <w:rPr>
          <w:bCs/>
          <w:iCs/>
          <w:color w:val="000000"/>
          <w:lang w:val="en-AU"/>
        </w:rPr>
        <w:t xml:space="preserve">(2013) </w:t>
      </w:r>
      <w:r w:rsidR="00972939">
        <w:rPr>
          <w:bCs/>
          <w:iCs/>
          <w:color w:val="000000"/>
          <w:lang w:val="en-AU"/>
        </w:rPr>
        <w:t>Experiment 1, w</w:t>
      </w:r>
      <w:r w:rsidR="00972939" w:rsidRPr="00826504">
        <w:rPr>
          <w:bCs/>
          <w:iCs/>
          <w:color w:val="000000"/>
          <w:lang w:val="en-AU"/>
        </w:rPr>
        <w:t>e calculated</w:t>
      </w:r>
      <w:r w:rsidR="00972939">
        <w:rPr>
          <w:bCs/>
          <w:iCs/>
          <w:color w:val="000000"/>
          <w:lang w:val="en-AU"/>
        </w:rPr>
        <w:t xml:space="preserve"> </w:t>
      </w:r>
      <w:r w:rsidR="00653021">
        <w:rPr>
          <w:bCs/>
          <w:iCs/>
          <w:color w:val="000000"/>
          <w:lang w:val="en-AU"/>
        </w:rPr>
        <w:t xml:space="preserve">the difference in the </w:t>
      </w:r>
      <w:r w:rsidR="00972939" w:rsidRPr="00826504">
        <w:rPr>
          <w:bCs/>
          <w:iCs/>
          <w:color w:val="000000"/>
          <w:lang w:val="en-AU"/>
        </w:rPr>
        <w:t>percentage of errors involving subject and object nouns</w:t>
      </w:r>
      <w:r w:rsidR="00972939">
        <w:rPr>
          <w:bCs/>
          <w:iCs/>
          <w:color w:val="000000"/>
          <w:lang w:val="en-AU"/>
        </w:rPr>
        <w:t xml:space="preserve"> respectively</w:t>
      </w:r>
      <w:r w:rsidR="00653021">
        <w:rPr>
          <w:bCs/>
          <w:iCs/>
          <w:color w:val="000000"/>
          <w:lang w:val="en-AU"/>
        </w:rPr>
        <w:t xml:space="preserve">. A </w:t>
      </w:r>
      <w:r w:rsidR="00972939" w:rsidRPr="00826504">
        <w:rPr>
          <w:bCs/>
          <w:iCs/>
          <w:color w:val="000000"/>
          <w:lang w:val="en-AU"/>
        </w:rPr>
        <w:t>negative score indicates dispr</w:t>
      </w:r>
      <w:r w:rsidR="00972939">
        <w:rPr>
          <w:bCs/>
          <w:iCs/>
          <w:color w:val="000000"/>
          <w:lang w:val="en-AU"/>
        </w:rPr>
        <w:t>oportionately</w:t>
      </w:r>
      <w:r w:rsidR="00972939" w:rsidRPr="00826504">
        <w:rPr>
          <w:bCs/>
          <w:iCs/>
          <w:color w:val="000000"/>
          <w:lang w:val="en-AU"/>
        </w:rPr>
        <w:t xml:space="preserve"> poor object noun production.</w:t>
      </w:r>
    </w:p>
    <w:p w14:paraId="04C2353E" w14:textId="7F38EEB2" w:rsidR="00E016A3" w:rsidRDefault="005A57D8" w:rsidP="00FE43A6">
      <w:pPr>
        <w:autoSpaceDE w:val="0"/>
        <w:autoSpaceDN w:val="0"/>
        <w:adjustRightInd w:val="0"/>
        <w:spacing w:line="480" w:lineRule="auto"/>
        <w:ind w:firstLine="720"/>
        <w:rPr>
          <w:color w:val="000000"/>
          <w:lang w:val="en-AU"/>
        </w:rPr>
      </w:pPr>
      <w:r>
        <w:rPr>
          <w:bCs/>
          <w:i/>
          <w:color w:val="000000"/>
          <w:lang w:val="en-AU"/>
        </w:rPr>
        <w:t>5</w:t>
      </w:r>
      <w:r w:rsidR="00826504">
        <w:rPr>
          <w:bCs/>
          <w:i/>
          <w:color w:val="000000"/>
          <w:lang w:val="en-AU"/>
        </w:rPr>
        <w:t>.</w:t>
      </w:r>
      <w:r w:rsidR="004A79FE" w:rsidRPr="00E365EE">
        <w:rPr>
          <w:bCs/>
          <w:i/>
          <w:color w:val="000000"/>
          <w:lang w:val="en-AU"/>
        </w:rPr>
        <w:t xml:space="preserve"> </w:t>
      </w:r>
      <w:r w:rsidR="00FE43A6">
        <w:rPr>
          <w:bCs/>
          <w:i/>
          <w:color w:val="000000"/>
          <w:lang w:val="en-AU"/>
        </w:rPr>
        <w:t xml:space="preserve">Sentence frequency effect. </w:t>
      </w:r>
      <w:r w:rsidR="00FE43A6">
        <w:rPr>
          <w:bCs/>
          <w:iCs/>
          <w:color w:val="000000"/>
          <w:lang w:val="en-AU"/>
        </w:rPr>
        <w:t>Using participant</w:t>
      </w:r>
      <w:r w:rsidR="00936A52">
        <w:rPr>
          <w:bCs/>
          <w:iCs/>
          <w:color w:val="000000"/>
          <w:lang w:val="en-AU"/>
        </w:rPr>
        <w:t>s’</w:t>
      </w:r>
      <w:r w:rsidR="00FE43A6">
        <w:rPr>
          <w:bCs/>
          <w:iCs/>
          <w:color w:val="000000"/>
          <w:lang w:val="en-AU"/>
        </w:rPr>
        <w:t xml:space="preserve"> responses from Speer and Wilshire’s (2013) Experiment 1, w</w:t>
      </w:r>
      <w:r w:rsidR="00FE43A6" w:rsidRPr="00826504">
        <w:rPr>
          <w:bCs/>
          <w:iCs/>
          <w:color w:val="000000"/>
          <w:lang w:val="en-AU"/>
        </w:rPr>
        <w:t>e calculated</w:t>
      </w:r>
      <w:r w:rsidR="00FE43A6">
        <w:rPr>
          <w:bCs/>
          <w:iCs/>
          <w:color w:val="000000"/>
          <w:lang w:val="en-AU"/>
        </w:rPr>
        <w:t xml:space="preserve"> the difference in the </w:t>
      </w:r>
      <w:r w:rsidR="00FE43A6" w:rsidRPr="00826504">
        <w:rPr>
          <w:bCs/>
          <w:iCs/>
          <w:color w:val="000000"/>
          <w:lang w:val="en-AU"/>
        </w:rPr>
        <w:t xml:space="preserve">percentage of errors involving </w:t>
      </w:r>
      <w:r w:rsidR="00FE43A6">
        <w:rPr>
          <w:bCs/>
          <w:iCs/>
          <w:color w:val="000000"/>
          <w:lang w:val="en-AU"/>
        </w:rPr>
        <w:t xml:space="preserve">sentences commencing with a low frequency subject and high frequency subject respectively. A </w:t>
      </w:r>
      <w:r w:rsidR="00FE43A6" w:rsidRPr="00826504">
        <w:rPr>
          <w:bCs/>
          <w:iCs/>
          <w:color w:val="000000"/>
          <w:lang w:val="en-AU"/>
        </w:rPr>
        <w:t>negative score indicates dispr</w:t>
      </w:r>
      <w:r w:rsidR="00FE43A6">
        <w:rPr>
          <w:bCs/>
          <w:iCs/>
          <w:color w:val="000000"/>
          <w:lang w:val="en-AU"/>
        </w:rPr>
        <w:t>oportionately</w:t>
      </w:r>
      <w:r w:rsidR="00FE43A6" w:rsidRPr="00826504">
        <w:rPr>
          <w:bCs/>
          <w:iCs/>
          <w:color w:val="000000"/>
          <w:lang w:val="en-AU"/>
        </w:rPr>
        <w:t xml:space="preserve"> poor </w:t>
      </w:r>
      <w:r w:rsidR="00FE43A6">
        <w:rPr>
          <w:bCs/>
          <w:iCs/>
          <w:color w:val="000000"/>
          <w:lang w:val="en-AU"/>
        </w:rPr>
        <w:t>accuracy</w:t>
      </w:r>
      <w:r w:rsidR="00FE43A6">
        <w:rPr>
          <w:color w:val="000000"/>
          <w:lang w:val="en-AU"/>
        </w:rPr>
        <w:t xml:space="preserve"> on</w:t>
      </w:r>
      <w:r w:rsidR="00FE43A6" w:rsidRPr="00DE7D74">
        <w:rPr>
          <w:color w:val="000000"/>
          <w:lang w:val="en-AU"/>
        </w:rPr>
        <w:t xml:space="preserve"> sentences with a </w:t>
      </w:r>
      <w:r w:rsidR="00FE43A6" w:rsidRPr="004F65DF">
        <w:rPr>
          <w:i/>
          <w:color w:val="000000"/>
          <w:lang w:val="en-AU"/>
        </w:rPr>
        <w:t>low</w:t>
      </w:r>
      <w:r w:rsidR="00FE43A6" w:rsidRPr="00DE7D74">
        <w:rPr>
          <w:color w:val="000000"/>
          <w:lang w:val="en-AU"/>
        </w:rPr>
        <w:t xml:space="preserve"> frequency subject</w:t>
      </w:r>
      <w:r w:rsidR="00FE43A6">
        <w:rPr>
          <w:color w:val="000000"/>
          <w:lang w:val="en-AU"/>
        </w:rPr>
        <w:t>.</w:t>
      </w:r>
    </w:p>
    <w:p w14:paraId="42A7A1F5" w14:textId="22417A70" w:rsidR="00DA7DE8" w:rsidRPr="00826504" w:rsidRDefault="005A57D8" w:rsidP="00DA7DE8">
      <w:pPr>
        <w:autoSpaceDE w:val="0"/>
        <w:autoSpaceDN w:val="0"/>
        <w:adjustRightInd w:val="0"/>
        <w:spacing w:line="480" w:lineRule="auto"/>
        <w:ind w:firstLine="720"/>
        <w:rPr>
          <w:bCs/>
          <w:iCs/>
          <w:color w:val="000000"/>
          <w:lang w:val="en-AU"/>
        </w:rPr>
      </w:pPr>
      <w:r>
        <w:rPr>
          <w:bCs/>
          <w:i/>
          <w:color w:val="000000"/>
          <w:lang w:val="en-AU"/>
        </w:rPr>
        <w:t>6</w:t>
      </w:r>
      <w:r w:rsidR="00DA7DE8" w:rsidRPr="00E365EE">
        <w:rPr>
          <w:bCs/>
          <w:i/>
          <w:color w:val="000000"/>
          <w:lang w:val="en-AU"/>
        </w:rPr>
        <w:t>.</w:t>
      </w:r>
      <w:r w:rsidR="004A79FE">
        <w:rPr>
          <w:bCs/>
          <w:i/>
          <w:color w:val="000000"/>
          <w:lang w:val="en-AU"/>
        </w:rPr>
        <w:t xml:space="preserve"> Sentence relatedness effect</w:t>
      </w:r>
      <w:r w:rsidR="004A79FE" w:rsidRPr="00151D53">
        <w:rPr>
          <w:bCs/>
          <w:i/>
          <w:color w:val="000000"/>
          <w:lang w:val="en-AU"/>
        </w:rPr>
        <w:t>.</w:t>
      </w:r>
      <w:r w:rsidR="004A79FE">
        <w:rPr>
          <w:color w:val="000000"/>
          <w:lang w:val="en-AU"/>
        </w:rPr>
        <w:t xml:space="preserve"> </w:t>
      </w:r>
      <w:r w:rsidR="004A79FE">
        <w:rPr>
          <w:bCs/>
          <w:iCs/>
          <w:color w:val="000000"/>
          <w:lang w:val="en-AU"/>
        </w:rPr>
        <w:t xml:space="preserve">Using participants’ responses from Speer and Wilshire’s (2013) Experiment 2, </w:t>
      </w:r>
      <w:r w:rsidR="004A79FE" w:rsidRPr="00A810AE">
        <w:rPr>
          <w:color w:val="000000"/>
          <w:lang w:val="en-AU"/>
        </w:rPr>
        <w:t xml:space="preserve">we </w:t>
      </w:r>
      <w:r w:rsidR="004A79FE" w:rsidRPr="00826504">
        <w:rPr>
          <w:bCs/>
          <w:iCs/>
          <w:color w:val="000000"/>
          <w:lang w:val="en-AU"/>
        </w:rPr>
        <w:t>calculated</w:t>
      </w:r>
      <w:r w:rsidR="004A79FE">
        <w:rPr>
          <w:bCs/>
          <w:iCs/>
          <w:color w:val="000000"/>
          <w:lang w:val="en-AU"/>
        </w:rPr>
        <w:t xml:space="preserve"> the difference in the</w:t>
      </w:r>
      <w:r w:rsidR="004A79FE" w:rsidRPr="00A810AE">
        <w:rPr>
          <w:color w:val="000000"/>
          <w:lang w:val="en-AU"/>
        </w:rPr>
        <w:t xml:space="preserve"> percentage </w:t>
      </w:r>
      <w:r w:rsidR="004A79FE">
        <w:rPr>
          <w:color w:val="000000"/>
          <w:lang w:val="en-AU"/>
        </w:rPr>
        <w:t xml:space="preserve">of incorrect </w:t>
      </w:r>
      <w:r w:rsidR="00EB5282">
        <w:rPr>
          <w:color w:val="000000"/>
          <w:lang w:val="en-AU"/>
        </w:rPr>
        <w:t>responses</w:t>
      </w:r>
      <w:r w:rsidR="004A79FE">
        <w:rPr>
          <w:color w:val="000000"/>
          <w:lang w:val="en-AU"/>
        </w:rPr>
        <w:t xml:space="preserve"> for related and unrelated sentences. A negative score indicates poorer accuracy on related than on unrelated sentences, and a positive score indicates the opposite. </w:t>
      </w:r>
    </w:p>
    <w:p w14:paraId="79958E82" w14:textId="17DFB09B" w:rsidR="00AE30DE" w:rsidRDefault="005A57D8" w:rsidP="00353C40">
      <w:pPr>
        <w:spacing w:line="480" w:lineRule="auto"/>
        <w:ind w:firstLine="720"/>
        <w:rPr>
          <w:iCs/>
        </w:rPr>
      </w:pPr>
      <w:r>
        <w:rPr>
          <w:i/>
        </w:rPr>
        <w:t>7</w:t>
      </w:r>
      <w:r w:rsidR="0035063E">
        <w:rPr>
          <w:i/>
        </w:rPr>
        <w:t>.</w:t>
      </w:r>
      <w:r w:rsidR="00AE30DE">
        <w:rPr>
          <w:i/>
        </w:rPr>
        <w:t xml:space="preserve"> </w:t>
      </w:r>
      <w:r w:rsidR="0000104F">
        <w:rPr>
          <w:i/>
        </w:rPr>
        <w:t>BCNT r</w:t>
      </w:r>
      <w:r w:rsidR="00507FC8">
        <w:rPr>
          <w:i/>
        </w:rPr>
        <w:t>elatedness</w:t>
      </w:r>
      <w:r w:rsidR="00E466CD">
        <w:rPr>
          <w:i/>
        </w:rPr>
        <w:t xml:space="preserve"> by cycle interaction</w:t>
      </w:r>
      <w:r w:rsidR="0000104F">
        <w:rPr>
          <w:i/>
        </w:rPr>
        <w:t>.</w:t>
      </w:r>
      <w:r w:rsidR="000B72AC" w:rsidRPr="002225DA">
        <w:rPr>
          <w:iCs/>
        </w:rPr>
        <w:t xml:space="preserve"> </w:t>
      </w:r>
      <w:r w:rsidR="005E2461">
        <w:rPr>
          <w:iCs/>
        </w:rPr>
        <w:t>Using participant’s responses on the Blocked cyclic naming task (BCNT), w</w:t>
      </w:r>
      <w:r w:rsidR="006D2D3D">
        <w:rPr>
          <w:iCs/>
        </w:rPr>
        <w:t>e</w:t>
      </w:r>
      <w:r w:rsidR="00B336E7">
        <w:rPr>
          <w:iCs/>
        </w:rPr>
        <w:t>: a)</w:t>
      </w:r>
      <w:r w:rsidR="00AB60B4">
        <w:rPr>
          <w:iCs/>
        </w:rPr>
        <w:t xml:space="preserve"> </w:t>
      </w:r>
      <w:r w:rsidR="006D2D3D">
        <w:rPr>
          <w:iCs/>
        </w:rPr>
        <w:t>calculat</w:t>
      </w:r>
      <w:r w:rsidR="008C20DE">
        <w:rPr>
          <w:iCs/>
        </w:rPr>
        <w:t>ed</w:t>
      </w:r>
      <w:r w:rsidR="006D2D3D">
        <w:rPr>
          <w:iCs/>
        </w:rPr>
        <w:t xml:space="preserve"> the </w:t>
      </w:r>
      <w:r w:rsidR="00D51588">
        <w:rPr>
          <w:iCs/>
        </w:rPr>
        <w:t xml:space="preserve">difference in </w:t>
      </w:r>
      <w:r w:rsidR="00463838">
        <w:rPr>
          <w:iCs/>
        </w:rPr>
        <w:t xml:space="preserve">the </w:t>
      </w:r>
      <w:r w:rsidR="00D51588">
        <w:rPr>
          <w:iCs/>
        </w:rPr>
        <w:t>percent</w:t>
      </w:r>
      <w:r w:rsidR="00463838">
        <w:rPr>
          <w:iCs/>
        </w:rPr>
        <w:t>age of</w:t>
      </w:r>
      <w:r w:rsidR="00D51588">
        <w:rPr>
          <w:iCs/>
        </w:rPr>
        <w:t xml:space="preserve"> correct </w:t>
      </w:r>
      <w:r w:rsidR="00463838">
        <w:rPr>
          <w:iCs/>
        </w:rPr>
        <w:t>naming trials on</w:t>
      </w:r>
      <w:r w:rsidR="00D51588">
        <w:rPr>
          <w:iCs/>
        </w:rPr>
        <w:t xml:space="preserve"> related and unrelated </w:t>
      </w:r>
      <w:r w:rsidR="00B277CE">
        <w:rPr>
          <w:iCs/>
        </w:rPr>
        <w:t>picture</w:t>
      </w:r>
      <w:r w:rsidR="00D51588">
        <w:rPr>
          <w:iCs/>
        </w:rPr>
        <w:t xml:space="preserve"> </w:t>
      </w:r>
      <w:r w:rsidR="00463838">
        <w:rPr>
          <w:iCs/>
        </w:rPr>
        <w:t>for each</w:t>
      </w:r>
      <w:r w:rsidR="00D51588">
        <w:rPr>
          <w:iCs/>
        </w:rPr>
        <w:t xml:space="preserve"> </w:t>
      </w:r>
      <w:r w:rsidR="00A81B55">
        <w:rPr>
          <w:iCs/>
        </w:rPr>
        <w:t>cycle</w:t>
      </w:r>
      <w:r w:rsidR="00B336E7">
        <w:rPr>
          <w:iCs/>
        </w:rPr>
        <w:t>; and b)</w:t>
      </w:r>
      <w:r w:rsidR="00A81B55">
        <w:rPr>
          <w:iCs/>
        </w:rPr>
        <w:t xml:space="preserve"> </w:t>
      </w:r>
      <w:r w:rsidR="00463838">
        <w:rPr>
          <w:iCs/>
        </w:rPr>
        <w:t>determining</w:t>
      </w:r>
      <w:r w:rsidR="00A81B55">
        <w:rPr>
          <w:iCs/>
        </w:rPr>
        <w:t xml:space="preserve"> the slop</w:t>
      </w:r>
      <w:r w:rsidR="00B336E7">
        <w:rPr>
          <w:iCs/>
        </w:rPr>
        <w:t>e</w:t>
      </w:r>
      <w:r w:rsidR="00A81B55">
        <w:rPr>
          <w:iCs/>
        </w:rPr>
        <w:t xml:space="preserve"> of the line that </w:t>
      </w:r>
      <w:r w:rsidR="00A81B55">
        <w:rPr>
          <w:iCs/>
        </w:rPr>
        <w:lastRenderedPageBreak/>
        <w:t xml:space="preserve">expressed the change in </w:t>
      </w:r>
      <w:r w:rsidR="00B336E7">
        <w:rPr>
          <w:iCs/>
        </w:rPr>
        <w:t>difference</w:t>
      </w:r>
      <w:r w:rsidR="00A81B55">
        <w:rPr>
          <w:iCs/>
        </w:rPr>
        <w:t xml:space="preserve"> </w:t>
      </w:r>
      <w:r w:rsidR="008C20DE">
        <w:rPr>
          <w:iCs/>
        </w:rPr>
        <w:t xml:space="preserve">scores </w:t>
      </w:r>
      <w:r w:rsidR="00A81B55">
        <w:rPr>
          <w:iCs/>
        </w:rPr>
        <w:t>across successive cycles. N</w:t>
      </w:r>
      <w:r w:rsidR="00353C40">
        <w:rPr>
          <w:iCs/>
        </w:rPr>
        <w:t xml:space="preserve">egative </w:t>
      </w:r>
      <w:r w:rsidR="0062133F">
        <w:rPr>
          <w:iCs/>
        </w:rPr>
        <w:t>scores</w:t>
      </w:r>
      <w:r w:rsidR="002954C7">
        <w:rPr>
          <w:iCs/>
        </w:rPr>
        <w:t xml:space="preserve"> indicate </w:t>
      </w:r>
      <w:r w:rsidR="00B336E7">
        <w:rPr>
          <w:iCs/>
        </w:rPr>
        <w:t xml:space="preserve">increasing </w:t>
      </w:r>
      <w:r w:rsidR="00A81B55">
        <w:rPr>
          <w:iCs/>
        </w:rPr>
        <w:t>semantic interference across successive cycles</w:t>
      </w:r>
      <w:r w:rsidR="002954C7">
        <w:rPr>
          <w:iCs/>
        </w:rPr>
        <w:t>.</w:t>
      </w:r>
    </w:p>
    <w:p w14:paraId="29812BE5" w14:textId="00CD52CA" w:rsidR="00E016A3" w:rsidRDefault="002C7746" w:rsidP="00353C40">
      <w:pPr>
        <w:autoSpaceDE w:val="0"/>
        <w:autoSpaceDN w:val="0"/>
        <w:adjustRightInd w:val="0"/>
        <w:spacing w:line="480" w:lineRule="auto"/>
        <w:rPr>
          <w:b/>
          <w:lang w:val="en-AU"/>
        </w:rPr>
      </w:pPr>
      <w:r>
        <w:rPr>
          <w:b/>
          <w:lang w:val="en-AU"/>
        </w:rPr>
        <w:t xml:space="preserve">2.4. </w:t>
      </w:r>
      <w:r w:rsidR="00E016A3">
        <w:rPr>
          <w:b/>
          <w:lang w:val="en-AU"/>
        </w:rPr>
        <w:t>Lesion mapping methods</w:t>
      </w:r>
    </w:p>
    <w:p w14:paraId="5B7DB5A6" w14:textId="2CFD0354" w:rsidR="00E016A3" w:rsidRDefault="00E016A3" w:rsidP="00E016A3">
      <w:pPr>
        <w:spacing w:line="480" w:lineRule="auto"/>
        <w:ind w:firstLine="720"/>
        <w:rPr>
          <w:lang w:val="en-GB"/>
        </w:rPr>
      </w:pPr>
      <w:r w:rsidRPr="00DE7D74">
        <w:rPr>
          <w:lang w:val="en-AU"/>
        </w:rPr>
        <w:t xml:space="preserve">All participants underwent a magnetic resonance imaging scan specifically for this study, within one year </w:t>
      </w:r>
      <w:r>
        <w:rPr>
          <w:lang w:val="en-AU"/>
        </w:rPr>
        <w:t>of</w:t>
      </w:r>
      <w:r w:rsidRPr="00DE7D74">
        <w:rPr>
          <w:lang w:val="en-AU"/>
        </w:rPr>
        <w:t xml:space="preserve"> being tested </w:t>
      </w:r>
      <w:r>
        <w:rPr>
          <w:lang w:val="en-AU"/>
        </w:rPr>
        <w:t>on the behavioural measures</w:t>
      </w:r>
      <w:r w:rsidRPr="00DE7D74">
        <w:rPr>
          <w:lang w:val="en-AU"/>
        </w:rPr>
        <w:t>.</w:t>
      </w:r>
      <w:r>
        <w:rPr>
          <w:lang w:val="en-AU"/>
        </w:rPr>
        <w:t xml:space="preserve"> </w:t>
      </w:r>
      <w:r w:rsidRPr="00DE7D74">
        <w:rPr>
          <w:lang w:val="en-AU"/>
        </w:rPr>
        <w:t>Whole b</w:t>
      </w:r>
      <w:r>
        <w:rPr>
          <w:lang w:val="en-AU"/>
        </w:rPr>
        <w:t>rain T1-weighted as well as T2-</w:t>
      </w:r>
      <w:r w:rsidRPr="00DE7D74">
        <w:rPr>
          <w:lang w:val="en-AU"/>
        </w:rPr>
        <w:t>weighted structural scans with inversion recovery (FLA</w:t>
      </w:r>
      <w:r>
        <w:rPr>
          <w:lang w:val="en-AU"/>
        </w:rPr>
        <w:t xml:space="preserve">IR) were collected at 1.5 Tesla </w:t>
      </w:r>
      <w:r w:rsidRPr="00DE7D74">
        <w:rPr>
          <w:color w:val="000000"/>
          <w:lang w:val="en-AU"/>
        </w:rPr>
        <w:t xml:space="preserve">(T1 3D FFE: TR = 25 ms, TE = 4.6 ms, FOV = 252mm x 238mm, slice thickness = 1mm; Sagittal 3D FLAIR: TR = 4800ms, TE = 329ms, TI = 1660ms, FOV = 252mm x a250mm, slice thickness = 1mm). </w:t>
      </w:r>
      <w:r w:rsidRPr="00792C40">
        <w:rPr>
          <w:lang w:val="en-GB"/>
        </w:rPr>
        <w:t xml:space="preserve">Each participant’s lesion map was manually segmented onto a 1x1x1mm T1-weighted structural image of their brain using Micron (Rorden et al., 2007), using the T2-weighted FLAIR image for additional guidance. Lesion boundaries were identified on the basis of visible differences in signal characteristics between the pathological and normal brain tissue. </w:t>
      </w:r>
      <w:r w:rsidR="0043731F">
        <w:rPr>
          <w:lang w:val="en-GB"/>
        </w:rPr>
        <w:t>T</w:t>
      </w:r>
      <w:r w:rsidRPr="00792C40">
        <w:rPr>
          <w:lang w:val="en-GB"/>
        </w:rPr>
        <w:t xml:space="preserve">he scans and lesion maps were </w:t>
      </w:r>
      <w:r w:rsidR="0043731F">
        <w:rPr>
          <w:lang w:val="en-GB"/>
        </w:rPr>
        <w:t xml:space="preserve">then </w:t>
      </w:r>
      <w:r w:rsidRPr="00792C40">
        <w:rPr>
          <w:lang w:val="en-GB"/>
        </w:rPr>
        <w:t>normalised to a standard template in SPM8 (Ashburner et al., 2012), implemented in MATLAB 8.0 (the MathWorks Inc, Natick MA) using the MR segment-normalise algorithm (Rorden</w:t>
      </w:r>
      <w:r w:rsidR="00580FFE">
        <w:rPr>
          <w:lang w:val="en-GB"/>
        </w:rPr>
        <w:t xml:space="preserve"> et al., </w:t>
      </w:r>
      <w:r w:rsidRPr="00792C40">
        <w:rPr>
          <w:lang w:val="en-GB"/>
        </w:rPr>
        <w:t xml:space="preserve">2012), which uses a variant of cost-function </w:t>
      </w:r>
      <w:r w:rsidR="00ED3253">
        <w:rPr>
          <w:lang w:val="en-GB"/>
        </w:rPr>
        <w:t>masking</w:t>
      </w:r>
      <w:r w:rsidRPr="00792C40">
        <w:rPr>
          <w:lang w:val="en-GB"/>
        </w:rPr>
        <w:t xml:space="preserve">, and a standard template based on healthy individuals with a mean age of 65 years. </w:t>
      </w:r>
    </w:p>
    <w:p w14:paraId="00AE89C2" w14:textId="2A998AB2" w:rsidR="00E016A3" w:rsidRPr="00171E5C" w:rsidRDefault="00E016A3" w:rsidP="00E016A3">
      <w:pPr>
        <w:spacing w:line="480" w:lineRule="auto"/>
        <w:ind w:firstLine="720"/>
        <w:rPr>
          <w:color w:val="000000"/>
        </w:rPr>
      </w:pPr>
      <w:r w:rsidRPr="00171E5C">
        <w:rPr>
          <w:color w:val="000000"/>
        </w:rPr>
        <w:t>VLSM analyses were performed using the Lesymap package (Pustina, 2018). We performed a linear regression analysis at each voxel, in which the dependent variable was the language function score</w:t>
      </w:r>
      <w:r>
        <w:rPr>
          <w:color w:val="000000"/>
        </w:rPr>
        <w:t xml:space="preserve">, expressed </w:t>
      </w:r>
      <w:r w:rsidRPr="00171E5C">
        <w:rPr>
          <w:color w:val="000000"/>
        </w:rPr>
        <w:t xml:space="preserve">as a residual after regressing out variance </w:t>
      </w:r>
      <w:r>
        <w:rPr>
          <w:color w:val="000000"/>
        </w:rPr>
        <w:t>shared</w:t>
      </w:r>
      <w:r w:rsidRPr="00171E5C">
        <w:rPr>
          <w:color w:val="000000"/>
        </w:rPr>
        <w:t xml:space="preserve"> with overall lesion size</w:t>
      </w:r>
      <w:r>
        <w:rPr>
          <w:color w:val="000000"/>
        </w:rPr>
        <w:t xml:space="preserve">, </w:t>
      </w:r>
      <w:r w:rsidRPr="00171E5C">
        <w:rPr>
          <w:color w:val="000000"/>
        </w:rPr>
        <w:t>and the independent variable was the pathological status of that voxel</w:t>
      </w:r>
      <w:r>
        <w:rPr>
          <w:color w:val="000000"/>
        </w:rPr>
        <w:t xml:space="preserve">, </w:t>
      </w:r>
      <w:r w:rsidRPr="00171E5C">
        <w:rPr>
          <w:color w:val="000000"/>
        </w:rPr>
        <w:t xml:space="preserve">adjusted for overall lesion size. </w:t>
      </w:r>
      <w:r>
        <w:rPr>
          <w:color w:val="000000"/>
        </w:rPr>
        <w:t>To adjust for lesion size</w:t>
      </w:r>
      <w:r w:rsidR="00824F7A">
        <w:rPr>
          <w:color w:val="000000"/>
        </w:rPr>
        <w:t xml:space="preserve"> at the voxel level</w:t>
      </w:r>
      <w:r>
        <w:rPr>
          <w:color w:val="000000"/>
        </w:rPr>
        <w:t xml:space="preserve">, we </w:t>
      </w:r>
      <w:r w:rsidRPr="00171E5C">
        <w:rPr>
          <w:color w:val="000000"/>
        </w:rPr>
        <w:t xml:space="preserve">weighted </w:t>
      </w:r>
      <w:r>
        <w:rPr>
          <w:color w:val="000000"/>
        </w:rPr>
        <w:t xml:space="preserve">the score for each voxel’s status </w:t>
      </w:r>
      <w:r w:rsidRPr="00171E5C">
        <w:rPr>
          <w:color w:val="000000"/>
        </w:rPr>
        <w:t>according to the size of that individual’s entire region of pathology. This was done by assigning each damaged voxel the value of 1 (as per convention) and then dividing that value by the square root of the participant’s overall lesion volume (see DeMarco and Turkeltaub</w:t>
      </w:r>
      <w:r>
        <w:rPr>
          <w:color w:val="000000"/>
        </w:rPr>
        <w:t xml:space="preserve">, </w:t>
      </w:r>
      <w:r w:rsidRPr="00171E5C">
        <w:rPr>
          <w:color w:val="000000"/>
        </w:rPr>
        <w:t>2018</w:t>
      </w:r>
      <w:r>
        <w:rPr>
          <w:color w:val="000000"/>
        </w:rPr>
        <w:t xml:space="preserve">; </w:t>
      </w:r>
      <w:r w:rsidRPr="00171E5C">
        <w:rPr>
          <w:color w:val="000000"/>
        </w:rPr>
        <w:t xml:space="preserve">Mirman et al., 2015). Voxels were only included in the analysis if </w:t>
      </w:r>
      <w:r w:rsidR="00501EE6">
        <w:rPr>
          <w:color w:val="000000"/>
        </w:rPr>
        <w:t xml:space="preserve">it was lesioned in </w:t>
      </w:r>
      <w:r w:rsidRPr="00171E5C">
        <w:rPr>
          <w:color w:val="000000"/>
        </w:rPr>
        <w:t>at least two participants.</w:t>
      </w:r>
    </w:p>
    <w:p w14:paraId="42E792E5" w14:textId="4EED4C2E" w:rsidR="00E016A3" w:rsidRDefault="00E016A3" w:rsidP="006A3CF7">
      <w:pPr>
        <w:spacing w:line="480" w:lineRule="auto"/>
        <w:ind w:firstLine="720"/>
        <w:rPr>
          <w:color w:val="000000"/>
        </w:rPr>
      </w:pPr>
      <w:r w:rsidRPr="00171E5C">
        <w:rPr>
          <w:color w:val="000000"/>
        </w:rPr>
        <w:lastRenderedPageBreak/>
        <w:t xml:space="preserve">We corrected for multiple comparisons using the continuous permutation-based FWER method (CFWER) described in Mirman et al. (2018). </w:t>
      </w:r>
      <w:r w:rsidR="00824F7A">
        <w:rPr>
          <w:color w:val="000000"/>
        </w:rPr>
        <w:t>It has recently been suggested that s</w:t>
      </w:r>
      <w:r w:rsidRPr="00171E5C">
        <w:rPr>
          <w:color w:val="000000"/>
        </w:rPr>
        <w:t xml:space="preserve">tandard permutation-based FWER, which defines the statistical threshold as the lowest value that is absent in 95% of the randomly permuted data sets (based on alpha = 0.05), </w:t>
      </w:r>
      <w:r w:rsidR="00824F7A">
        <w:rPr>
          <w:color w:val="000000"/>
        </w:rPr>
        <w:t>may be overly conservative (</w:t>
      </w:r>
      <w:r w:rsidR="00824F7A" w:rsidRPr="00824F7A">
        <w:rPr>
          <w:color w:val="000000"/>
        </w:rPr>
        <w:t>Mirman</w:t>
      </w:r>
      <w:r w:rsidR="00824F7A">
        <w:rPr>
          <w:color w:val="000000"/>
        </w:rPr>
        <w:t xml:space="preserve"> et al., </w:t>
      </w:r>
      <w:r w:rsidR="00824F7A" w:rsidRPr="00824F7A">
        <w:rPr>
          <w:color w:val="000000"/>
        </w:rPr>
        <w:t>2018</w:t>
      </w:r>
      <w:r w:rsidR="00824F7A">
        <w:rPr>
          <w:color w:val="000000"/>
        </w:rPr>
        <w:t xml:space="preserve">). </w:t>
      </w:r>
      <w:r w:rsidRPr="00171E5C">
        <w:rPr>
          <w:color w:val="000000"/>
        </w:rPr>
        <w:t xml:space="preserve">CFWER allows the researcher to loosen this threshold: for example, one can define the statistical threshold as the lowest value that </w:t>
      </w:r>
      <w:r>
        <w:rPr>
          <w:color w:val="000000"/>
        </w:rPr>
        <w:t>is</w:t>
      </w:r>
      <w:r w:rsidRPr="00171E5C">
        <w:rPr>
          <w:color w:val="000000"/>
        </w:rPr>
        <w:t xml:space="preserve"> present in no more than five voxels in 95% of the randomly permuted data sets (</w:t>
      </w:r>
      <w:r w:rsidRPr="00171E5C">
        <w:rPr>
          <w:i/>
          <w:iCs/>
          <w:color w:val="000000"/>
        </w:rPr>
        <w:t>v</w:t>
      </w:r>
      <w:r w:rsidRPr="00171E5C">
        <w:rPr>
          <w:color w:val="000000"/>
        </w:rPr>
        <w:t> =5), or in no more than 10 voxels (</w:t>
      </w:r>
      <w:r w:rsidRPr="00171E5C">
        <w:rPr>
          <w:i/>
          <w:iCs/>
          <w:color w:val="000000"/>
        </w:rPr>
        <w:t>v</w:t>
      </w:r>
      <w:r w:rsidRPr="00171E5C">
        <w:rPr>
          <w:color w:val="000000"/>
        </w:rPr>
        <w:t xml:space="preserve"> = 10), and so on. Mirman et al. (2018) recommend reporting results based on a range of values of v, so that the reader can assess the reliability of the voxel evidence for themselves. Each correction was calculated from a sample of 10,000 permutations. The Harvard-Oxford </w:t>
      </w:r>
      <w:r>
        <w:rPr>
          <w:color w:val="000000"/>
        </w:rPr>
        <w:t>cortical</w:t>
      </w:r>
      <w:r w:rsidRPr="00171E5C">
        <w:rPr>
          <w:color w:val="000000"/>
        </w:rPr>
        <w:t xml:space="preserve"> atlas (Desikan et al., 2006)</w:t>
      </w:r>
      <w:r w:rsidR="000B4D68">
        <w:rPr>
          <w:color w:val="000000"/>
        </w:rPr>
        <w:t xml:space="preserve"> was</w:t>
      </w:r>
      <w:r w:rsidRPr="00171E5C">
        <w:rPr>
          <w:color w:val="000000"/>
        </w:rPr>
        <w:t xml:space="preserve"> used </w:t>
      </w:r>
      <w:r w:rsidR="00274233">
        <w:rPr>
          <w:color w:val="000000"/>
        </w:rPr>
        <w:t>to determine</w:t>
      </w:r>
      <w:r w:rsidRPr="00171E5C">
        <w:rPr>
          <w:color w:val="000000"/>
        </w:rPr>
        <w:t xml:space="preserve"> the </w:t>
      </w:r>
      <w:r w:rsidR="000B4D68">
        <w:rPr>
          <w:color w:val="000000"/>
        </w:rPr>
        <w:t xml:space="preserve">cortical </w:t>
      </w:r>
      <w:r w:rsidRPr="00171E5C">
        <w:rPr>
          <w:color w:val="000000"/>
        </w:rPr>
        <w:t xml:space="preserve">localisation of voxels exceeding the significance threshold. </w:t>
      </w:r>
      <w:r w:rsidR="000B4D68">
        <w:rPr>
          <w:lang w:val="en-AU"/>
        </w:rPr>
        <w:t>T</w:t>
      </w:r>
      <w:r w:rsidR="000B4D68" w:rsidRPr="00E365EE">
        <w:rPr>
          <w:lang w:val="en-AU"/>
        </w:rPr>
        <w:t xml:space="preserve">he </w:t>
      </w:r>
      <w:r w:rsidR="000B4D68">
        <w:rPr>
          <w:lang w:val="en-AU"/>
        </w:rPr>
        <w:t xml:space="preserve">HCP1065 </w:t>
      </w:r>
      <w:r w:rsidR="000B4D68" w:rsidRPr="00E365EE">
        <w:rPr>
          <w:lang w:val="en-AU"/>
        </w:rPr>
        <w:t xml:space="preserve">white matter atlas </w:t>
      </w:r>
      <w:r w:rsidR="00314769">
        <w:rPr>
          <w:lang w:val="en-AU"/>
        </w:rPr>
        <w:t>provided in</w:t>
      </w:r>
      <w:r w:rsidR="00AF750D">
        <w:rPr>
          <w:lang w:val="en-AU"/>
        </w:rPr>
        <w:t xml:space="preserve"> </w:t>
      </w:r>
      <w:r w:rsidR="00314769">
        <w:rPr>
          <w:lang w:val="en-AU"/>
        </w:rPr>
        <w:t>FSL</w:t>
      </w:r>
      <w:r w:rsidR="000B4D68">
        <w:rPr>
          <w:lang w:val="en-AU"/>
        </w:rPr>
        <w:t xml:space="preserve"> </w:t>
      </w:r>
      <w:r w:rsidR="000B4D68">
        <w:rPr>
          <w:color w:val="000000"/>
        </w:rPr>
        <w:t xml:space="preserve">was used to determine </w:t>
      </w:r>
      <w:r w:rsidR="006A3CF7">
        <w:rPr>
          <w:color w:val="000000"/>
        </w:rPr>
        <w:t>overlap with</w:t>
      </w:r>
      <w:r w:rsidR="007673C0">
        <w:rPr>
          <w:color w:val="000000"/>
        </w:rPr>
        <w:t xml:space="preserve"> the </w:t>
      </w:r>
      <w:r w:rsidR="006A3CF7">
        <w:rPr>
          <w:color w:val="000000"/>
        </w:rPr>
        <w:t>territories</w:t>
      </w:r>
      <w:r w:rsidR="007673C0">
        <w:rPr>
          <w:color w:val="000000"/>
        </w:rPr>
        <w:t xml:space="preserve"> of the major associat</w:t>
      </w:r>
      <w:r w:rsidR="006A3CF7">
        <w:rPr>
          <w:color w:val="000000"/>
        </w:rPr>
        <w:t>ion</w:t>
      </w:r>
      <w:r w:rsidR="007673C0">
        <w:rPr>
          <w:color w:val="000000"/>
        </w:rPr>
        <w:t xml:space="preserve"> pathways</w:t>
      </w:r>
      <w:r w:rsidR="00DF3308">
        <w:rPr>
          <w:color w:val="000000"/>
        </w:rPr>
        <w:t xml:space="preserve">. This atlas was developed </w:t>
      </w:r>
      <w:r w:rsidR="00501EE6">
        <w:rPr>
          <w:color w:val="000000"/>
        </w:rPr>
        <w:t>from</w:t>
      </w:r>
      <w:r w:rsidR="00DF3308">
        <w:rPr>
          <w:color w:val="000000"/>
        </w:rPr>
        <w:t xml:space="preserve"> tractography data </w:t>
      </w:r>
      <w:r w:rsidR="0055457D">
        <w:rPr>
          <w:color w:val="000000"/>
        </w:rPr>
        <w:t>from</w:t>
      </w:r>
      <w:r w:rsidR="00DF3308">
        <w:rPr>
          <w:color w:val="000000"/>
        </w:rPr>
        <w:t xml:space="preserve"> 1065 </w:t>
      </w:r>
      <w:r w:rsidR="00274233">
        <w:rPr>
          <w:color w:val="000000"/>
        </w:rPr>
        <w:t>healthy participants</w:t>
      </w:r>
      <w:r w:rsidR="00DF3308">
        <w:rPr>
          <w:color w:val="000000"/>
        </w:rPr>
        <w:t>, and created using the</w:t>
      </w:r>
      <w:r w:rsidR="0055457D">
        <w:rPr>
          <w:color w:val="000000"/>
        </w:rPr>
        <w:t xml:space="preserve"> </w:t>
      </w:r>
      <w:r w:rsidR="00DF3308">
        <w:rPr>
          <w:color w:val="000000"/>
        </w:rPr>
        <w:t>XTRACT</w:t>
      </w:r>
      <w:r w:rsidR="0055457D">
        <w:rPr>
          <w:color w:val="000000"/>
        </w:rPr>
        <w:t xml:space="preserve"> software package</w:t>
      </w:r>
      <w:r w:rsidR="00EA73E2">
        <w:rPr>
          <w:color w:val="000000"/>
        </w:rPr>
        <w:t xml:space="preserve"> (</w:t>
      </w:r>
      <w:r w:rsidR="00DF3308" w:rsidRPr="00DF3308">
        <w:rPr>
          <w:color w:val="000000"/>
        </w:rPr>
        <w:t>Warrington</w:t>
      </w:r>
      <w:r w:rsidR="00DF3308">
        <w:rPr>
          <w:color w:val="000000"/>
        </w:rPr>
        <w:t xml:space="preserve"> et al., </w:t>
      </w:r>
      <w:r w:rsidR="00DF3308" w:rsidRPr="00DF3308">
        <w:rPr>
          <w:color w:val="000000"/>
        </w:rPr>
        <w:t>2020).</w:t>
      </w:r>
    </w:p>
    <w:p w14:paraId="48FB369B" w14:textId="73523F14" w:rsidR="00E016A3" w:rsidRPr="00854972" w:rsidRDefault="002C7746" w:rsidP="00274233">
      <w:pPr>
        <w:spacing w:before="120"/>
        <w:jc w:val="center"/>
        <w:rPr>
          <w:b/>
          <w:bCs/>
          <w:lang w:val="en-GB"/>
        </w:rPr>
      </w:pPr>
      <w:r>
        <w:rPr>
          <w:b/>
          <w:bCs/>
          <w:lang w:val="en-GB"/>
        </w:rPr>
        <w:t xml:space="preserve">3. </w:t>
      </w:r>
      <w:r w:rsidR="00E016A3" w:rsidRPr="00854972">
        <w:rPr>
          <w:b/>
          <w:bCs/>
          <w:lang w:val="en-GB"/>
        </w:rPr>
        <w:t>Results</w:t>
      </w:r>
    </w:p>
    <w:p w14:paraId="686AAE53" w14:textId="1F4A4F34" w:rsidR="00E016A3" w:rsidRPr="0095024A" w:rsidRDefault="002C7746" w:rsidP="00E016A3">
      <w:pPr>
        <w:spacing w:line="480" w:lineRule="auto"/>
        <w:rPr>
          <w:b/>
          <w:bCs/>
        </w:rPr>
      </w:pPr>
      <w:r>
        <w:rPr>
          <w:b/>
          <w:bCs/>
        </w:rPr>
        <w:t xml:space="preserve">3.1. </w:t>
      </w:r>
      <w:r w:rsidR="00E016A3" w:rsidRPr="0095024A">
        <w:rPr>
          <w:b/>
          <w:bCs/>
        </w:rPr>
        <w:t>Behavioural Results</w:t>
      </w:r>
    </w:p>
    <w:p w14:paraId="33774B3F" w14:textId="3CA7ECBE" w:rsidR="00042D59" w:rsidRDefault="00E016A3" w:rsidP="00042D59">
      <w:pPr>
        <w:spacing w:line="480" w:lineRule="auto"/>
        <w:ind w:firstLine="720"/>
      </w:pPr>
      <w:r>
        <w:t xml:space="preserve">Table </w:t>
      </w:r>
      <w:r w:rsidR="00832A5E">
        <w:t>S</w:t>
      </w:r>
      <w:r w:rsidR="00CC1D8A">
        <w:t>2</w:t>
      </w:r>
      <w:r>
        <w:t xml:space="preserve"> </w:t>
      </w:r>
      <w:r w:rsidR="00C03FE1">
        <w:t xml:space="preserve">presents </w:t>
      </w:r>
      <w:r w:rsidR="00042D59">
        <w:t>the</w:t>
      </w:r>
      <w:r w:rsidR="00F20E18">
        <w:t xml:space="preserve"> </w:t>
      </w:r>
      <w:r w:rsidR="00121A52">
        <w:t xml:space="preserve">complete </w:t>
      </w:r>
      <w:r w:rsidR="00CC1D8A">
        <w:t>data for</w:t>
      </w:r>
      <w:r w:rsidR="00121A52">
        <w:t xml:space="preserve"> </w:t>
      </w:r>
      <w:r w:rsidR="00C03FE1">
        <w:t>each participant on</w:t>
      </w:r>
      <w:r w:rsidR="00CC1D8A">
        <w:t xml:space="preserve"> the blocked cyclic naming task</w:t>
      </w:r>
      <w:r w:rsidR="00042D59">
        <w:t xml:space="preserve">. Table 1 </w:t>
      </w:r>
      <w:r w:rsidR="006134DA">
        <w:t>summarises</w:t>
      </w:r>
      <w:r w:rsidR="00042D59">
        <w:t xml:space="preserve"> participant</w:t>
      </w:r>
      <w:r w:rsidR="00C03FE1">
        <w:t>s’</w:t>
      </w:r>
      <w:r w:rsidR="00042D59">
        <w:t xml:space="preserve"> score</w:t>
      </w:r>
      <w:r w:rsidR="00C03FE1">
        <w:t>s</w:t>
      </w:r>
      <w:r w:rsidR="00042D59">
        <w:t xml:space="preserve"> for each of the </w:t>
      </w:r>
      <w:r w:rsidR="00C938CF">
        <w:t>seven</w:t>
      </w:r>
      <w:r w:rsidR="00042D59">
        <w:t xml:space="preserve"> key behavioural measures. As predicted, all measures tended to be positively </w:t>
      </w:r>
      <w:r w:rsidR="00990630">
        <w:t xml:space="preserve">associated </w:t>
      </w:r>
      <w:r w:rsidR="00042D59">
        <w:t>with one another, although not all association</w:t>
      </w:r>
      <w:r w:rsidR="00990630">
        <w:t>s</w:t>
      </w:r>
      <w:r w:rsidR="00042D59">
        <w:t xml:space="preserve"> were statistically significant for this </w:t>
      </w:r>
      <w:r w:rsidR="00990630">
        <w:t xml:space="preserve">small </w:t>
      </w:r>
      <w:r w:rsidR="00042D59">
        <w:t>sample</w:t>
      </w:r>
      <w:r w:rsidR="00C03FE1">
        <w:t xml:space="preserve"> (see Table 3)</w:t>
      </w:r>
      <w:r w:rsidR="00042D59">
        <w:t xml:space="preserve">. It is of note that the sentence relatedness and the subject frequency measures were very highly correlated. So too were the </w:t>
      </w:r>
      <w:r w:rsidR="00990630">
        <w:t xml:space="preserve">QPA closed class, QPA speech rate and articulatory agility </w:t>
      </w:r>
      <w:r w:rsidR="006134DA">
        <w:t>measures</w:t>
      </w:r>
      <w:r w:rsidR="00042D59">
        <w:t xml:space="preserve">. </w:t>
      </w:r>
    </w:p>
    <w:p w14:paraId="5A4907CE" w14:textId="77777777" w:rsidR="00936A52" w:rsidRDefault="00936A52" w:rsidP="00936A52">
      <w:pPr>
        <w:spacing w:line="480" w:lineRule="auto"/>
        <w:ind w:firstLine="720"/>
        <w:rPr>
          <w:shd w:val="clear" w:color="auto" w:fill="FBE4D5" w:themeFill="accent2" w:themeFillTint="33"/>
        </w:rPr>
      </w:pPr>
      <w:r>
        <w:t xml:space="preserve">To further explore the relationships amongst these measures, we performed a principal component analysis with varimax rotation. </w:t>
      </w:r>
      <w:r>
        <w:rPr>
          <w:rStyle w:val="Heading4Char"/>
          <w:b w:val="0"/>
          <w:i w:val="0"/>
          <w:iCs w:val="0"/>
        </w:rPr>
        <w:t xml:space="preserve">Components with Eigenvalues above 1 were extracted. </w:t>
      </w:r>
      <w:r>
        <w:t xml:space="preserve">The purpose of this analysis was not to examine the components themselves (the sample was not large enough for this), but to identify clusters of measures that are likely to capture unique versus </w:t>
      </w:r>
      <w:r>
        <w:lastRenderedPageBreak/>
        <w:t xml:space="preserve">overlapping variability. </w:t>
      </w:r>
      <w:r w:rsidRPr="00D04ECC">
        <w:rPr>
          <w:rStyle w:val="Heading4Char"/>
          <w:b w:val="0"/>
          <w:i w:val="0"/>
          <w:iCs w:val="0"/>
        </w:rPr>
        <w:t xml:space="preserve">The analysis resulted in </w:t>
      </w:r>
      <w:r>
        <w:rPr>
          <w:rStyle w:val="Heading4Char"/>
          <w:b w:val="0"/>
          <w:i w:val="0"/>
          <w:iCs w:val="0"/>
        </w:rPr>
        <w:t>two</w:t>
      </w:r>
      <w:r w:rsidRPr="00D04ECC">
        <w:rPr>
          <w:rStyle w:val="Heading4Char"/>
          <w:b w:val="0"/>
          <w:i w:val="0"/>
          <w:iCs w:val="0"/>
        </w:rPr>
        <w:t xml:space="preserve"> principal components</w:t>
      </w:r>
      <w:r>
        <w:rPr>
          <w:rStyle w:val="Heading4Char"/>
          <w:b w:val="0"/>
          <w:i w:val="0"/>
          <w:iCs w:val="0"/>
        </w:rPr>
        <w:t>, and the</w:t>
      </w:r>
      <w:r w:rsidRPr="00D04ECC">
        <w:rPr>
          <w:rStyle w:val="Heading4Char"/>
          <w:b w:val="0"/>
          <w:i w:val="0"/>
          <w:iCs w:val="0"/>
        </w:rPr>
        <w:t xml:space="preserve"> results </w:t>
      </w:r>
      <w:r>
        <w:t xml:space="preserve">are shown in Table </w:t>
      </w:r>
      <w:r w:rsidRPr="00487ABD">
        <w:t>4</w:t>
      </w:r>
      <w:r>
        <w:t>.</w:t>
      </w:r>
      <w:r w:rsidRPr="00487ABD">
        <w:t xml:space="preserve"> </w:t>
      </w:r>
      <w:r>
        <w:t xml:space="preserve">The closed class, speech rate and articulatory agility measures loaded primarily on the first component, which we will call </w:t>
      </w:r>
      <w:r w:rsidRPr="00487ABD">
        <w:rPr>
          <w:i/>
          <w:iCs/>
        </w:rPr>
        <w:t>fluency and grammaticality</w:t>
      </w:r>
      <w:r>
        <w:t xml:space="preserve">. Conversely, the sentence context effect and BCNT interaction measure loaded primarily on the second component, which we will call </w:t>
      </w:r>
      <w:r>
        <w:rPr>
          <w:i/>
          <w:iCs/>
        </w:rPr>
        <w:t>context sensitivity</w:t>
      </w:r>
      <w:r>
        <w:t xml:space="preserve">. The remaining measures loaded on both factors. </w:t>
      </w:r>
    </w:p>
    <w:p w14:paraId="37ABFBE4" w14:textId="77777777" w:rsidR="0043731F" w:rsidRPr="00A21E9B" w:rsidRDefault="0043731F" w:rsidP="00274233">
      <w:pPr>
        <w:ind w:firstLine="720"/>
        <w:rPr>
          <w:lang w:val="en-AU"/>
        </w:rPr>
      </w:pPr>
    </w:p>
    <w:tbl>
      <w:tblPr>
        <w:tblStyle w:val="TableGrid"/>
        <w:tblW w:w="10218" w:type="dxa"/>
        <w:tblInd w:w="1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5"/>
        <w:gridCol w:w="1073"/>
        <w:gridCol w:w="1073"/>
        <w:gridCol w:w="1073"/>
        <w:gridCol w:w="1074"/>
        <w:gridCol w:w="1073"/>
        <w:gridCol w:w="1073"/>
        <w:gridCol w:w="1074"/>
      </w:tblGrid>
      <w:tr w:rsidR="00274233" w:rsidRPr="00274233" w14:paraId="7B5E09AB" w14:textId="77777777" w:rsidTr="00274233">
        <w:tc>
          <w:tcPr>
            <w:tcW w:w="2705" w:type="dxa"/>
            <w:tcBorders>
              <w:bottom w:val="single" w:sz="4" w:space="0" w:color="auto"/>
            </w:tcBorders>
          </w:tcPr>
          <w:p w14:paraId="2E8A3E58" w14:textId="77777777" w:rsidR="00274233" w:rsidRPr="00274233" w:rsidRDefault="00274233" w:rsidP="00B340D7">
            <w:pPr>
              <w:snapToGrid w:val="0"/>
              <w:spacing w:beforeLines="20" w:before="48" w:afterLines="20" w:after="48"/>
              <w:rPr>
                <w:b/>
                <w:bCs/>
                <w:sz w:val="22"/>
                <w:szCs w:val="22"/>
              </w:rPr>
            </w:pPr>
            <w:r w:rsidRPr="00274233">
              <w:rPr>
                <w:b/>
                <w:bCs/>
                <w:sz w:val="22"/>
                <w:szCs w:val="22"/>
              </w:rPr>
              <w:t xml:space="preserve"> </w:t>
            </w:r>
          </w:p>
        </w:tc>
        <w:tc>
          <w:tcPr>
            <w:tcW w:w="1073" w:type="dxa"/>
            <w:tcBorders>
              <w:bottom w:val="single" w:sz="4" w:space="0" w:color="auto"/>
            </w:tcBorders>
          </w:tcPr>
          <w:p w14:paraId="08868219" w14:textId="77777777" w:rsidR="00274233" w:rsidRPr="00274233" w:rsidRDefault="00274233" w:rsidP="00B340D7">
            <w:pPr>
              <w:snapToGrid w:val="0"/>
              <w:spacing w:beforeLines="20" w:before="48" w:afterLines="20" w:after="48"/>
              <w:rPr>
                <w:sz w:val="22"/>
                <w:szCs w:val="22"/>
                <w:lang w:val="en-US"/>
              </w:rPr>
            </w:pPr>
            <w:r w:rsidRPr="00274233">
              <w:rPr>
                <w:sz w:val="22"/>
                <w:szCs w:val="22"/>
              </w:rPr>
              <w:t>QPA speech rate</w:t>
            </w:r>
          </w:p>
        </w:tc>
        <w:tc>
          <w:tcPr>
            <w:tcW w:w="1073" w:type="dxa"/>
            <w:tcBorders>
              <w:bottom w:val="single" w:sz="4" w:space="0" w:color="auto"/>
            </w:tcBorders>
          </w:tcPr>
          <w:p w14:paraId="2B39C18A" w14:textId="77777777" w:rsidR="00274233" w:rsidRPr="00274233" w:rsidRDefault="00274233" w:rsidP="00B340D7">
            <w:pPr>
              <w:snapToGrid w:val="0"/>
              <w:spacing w:beforeLines="20" w:before="48" w:afterLines="20" w:after="48"/>
              <w:rPr>
                <w:sz w:val="22"/>
                <w:szCs w:val="22"/>
                <w:lang w:val="en-US"/>
              </w:rPr>
            </w:pPr>
            <w:r w:rsidRPr="00274233">
              <w:rPr>
                <w:sz w:val="22"/>
                <w:szCs w:val="22"/>
              </w:rPr>
              <w:t>QPA closed class propn</w:t>
            </w:r>
          </w:p>
        </w:tc>
        <w:tc>
          <w:tcPr>
            <w:tcW w:w="1073" w:type="dxa"/>
            <w:tcBorders>
              <w:bottom w:val="single" w:sz="4" w:space="0" w:color="auto"/>
            </w:tcBorders>
          </w:tcPr>
          <w:p w14:paraId="61C29768" w14:textId="77777777" w:rsidR="00274233" w:rsidRPr="00274233" w:rsidRDefault="00274233" w:rsidP="00B340D7">
            <w:pPr>
              <w:snapToGrid w:val="0"/>
              <w:spacing w:beforeLines="20" w:before="48" w:afterLines="20" w:after="48"/>
              <w:rPr>
                <w:sz w:val="22"/>
                <w:szCs w:val="22"/>
                <w:lang w:val="en-US"/>
              </w:rPr>
            </w:pPr>
            <w:r w:rsidRPr="00274233">
              <w:rPr>
                <w:sz w:val="22"/>
                <w:szCs w:val="22"/>
                <w:lang w:val="en-US"/>
              </w:rPr>
              <w:t>Articulation rating</w:t>
            </w:r>
          </w:p>
        </w:tc>
        <w:tc>
          <w:tcPr>
            <w:tcW w:w="1074" w:type="dxa"/>
            <w:tcBorders>
              <w:bottom w:val="single" w:sz="4" w:space="0" w:color="auto"/>
            </w:tcBorders>
          </w:tcPr>
          <w:p w14:paraId="01376D8A" w14:textId="77777777" w:rsidR="00274233" w:rsidRPr="00274233" w:rsidRDefault="00274233" w:rsidP="00B340D7">
            <w:pPr>
              <w:snapToGrid w:val="0"/>
              <w:spacing w:beforeLines="20" w:before="48" w:afterLines="20" w:after="48"/>
              <w:rPr>
                <w:sz w:val="22"/>
                <w:szCs w:val="22"/>
              </w:rPr>
            </w:pPr>
            <w:r w:rsidRPr="00274233">
              <w:rPr>
                <w:sz w:val="22"/>
                <w:szCs w:val="22"/>
                <w:lang w:val="en-US"/>
              </w:rPr>
              <w:t>Sentence context effect</w:t>
            </w:r>
          </w:p>
        </w:tc>
        <w:tc>
          <w:tcPr>
            <w:tcW w:w="1073" w:type="dxa"/>
            <w:tcBorders>
              <w:bottom w:val="single" w:sz="4" w:space="0" w:color="auto"/>
            </w:tcBorders>
          </w:tcPr>
          <w:p w14:paraId="46720B2B" w14:textId="2C24C914" w:rsidR="00274233" w:rsidRPr="00274233" w:rsidRDefault="00274233" w:rsidP="00B340D7">
            <w:pPr>
              <w:snapToGrid w:val="0"/>
              <w:spacing w:beforeLines="20" w:before="48" w:afterLines="20" w:after="48"/>
              <w:rPr>
                <w:sz w:val="22"/>
                <w:szCs w:val="22"/>
              </w:rPr>
            </w:pPr>
            <w:r w:rsidRPr="00274233">
              <w:rPr>
                <w:sz w:val="22"/>
                <w:szCs w:val="22"/>
                <w:lang w:val="en-US"/>
              </w:rPr>
              <w:t>Subject freq</w:t>
            </w:r>
            <w:r>
              <w:rPr>
                <w:sz w:val="22"/>
                <w:szCs w:val="22"/>
                <w:lang w:val="en-US"/>
              </w:rPr>
              <w:t xml:space="preserve">. </w:t>
            </w:r>
            <w:r w:rsidRPr="00274233">
              <w:rPr>
                <w:sz w:val="22"/>
                <w:szCs w:val="22"/>
                <w:lang w:val="en-US"/>
              </w:rPr>
              <w:t>effect</w:t>
            </w:r>
          </w:p>
        </w:tc>
        <w:tc>
          <w:tcPr>
            <w:tcW w:w="1073" w:type="dxa"/>
            <w:tcBorders>
              <w:bottom w:val="single" w:sz="4" w:space="0" w:color="auto"/>
            </w:tcBorders>
          </w:tcPr>
          <w:p w14:paraId="202347C4" w14:textId="77777777" w:rsidR="00274233" w:rsidRPr="00274233" w:rsidRDefault="00274233" w:rsidP="00B340D7">
            <w:pPr>
              <w:snapToGrid w:val="0"/>
              <w:spacing w:beforeLines="20" w:before="48" w:afterLines="20" w:after="48"/>
              <w:rPr>
                <w:sz w:val="22"/>
                <w:szCs w:val="22"/>
              </w:rPr>
            </w:pPr>
            <w:r w:rsidRPr="00274233">
              <w:rPr>
                <w:sz w:val="22"/>
                <w:szCs w:val="22"/>
              </w:rPr>
              <w:t>Sentence relatedness effect</w:t>
            </w:r>
          </w:p>
        </w:tc>
        <w:tc>
          <w:tcPr>
            <w:tcW w:w="1074" w:type="dxa"/>
            <w:tcBorders>
              <w:bottom w:val="single" w:sz="4" w:space="0" w:color="auto"/>
            </w:tcBorders>
          </w:tcPr>
          <w:p w14:paraId="0484F2AA" w14:textId="77777777" w:rsidR="00274233" w:rsidRPr="00274233" w:rsidRDefault="00274233" w:rsidP="00B340D7">
            <w:pPr>
              <w:snapToGrid w:val="0"/>
              <w:spacing w:beforeLines="20" w:before="48" w:afterLines="20" w:after="48"/>
              <w:rPr>
                <w:sz w:val="22"/>
                <w:szCs w:val="22"/>
              </w:rPr>
            </w:pPr>
            <w:r w:rsidRPr="00274233">
              <w:rPr>
                <w:sz w:val="22"/>
                <w:szCs w:val="22"/>
                <w:lang w:val="en-US"/>
              </w:rPr>
              <w:t xml:space="preserve">BCNT relatedness x cycle </w:t>
            </w:r>
          </w:p>
        </w:tc>
      </w:tr>
      <w:tr w:rsidR="00274233" w:rsidRPr="00274233" w14:paraId="021767ED" w14:textId="77777777" w:rsidTr="00274233">
        <w:tc>
          <w:tcPr>
            <w:tcW w:w="2705" w:type="dxa"/>
            <w:tcBorders>
              <w:top w:val="single" w:sz="4" w:space="0" w:color="auto"/>
              <w:bottom w:val="nil"/>
            </w:tcBorders>
          </w:tcPr>
          <w:p w14:paraId="61A5E1E0" w14:textId="77777777" w:rsidR="00274233" w:rsidRPr="00274233" w:rsidRDefault="00274233" w:rsidP="00B340D7">
            <w:pPr>
              <w:snapToGrid w:val="0"/>
              <w:spacing w:beforeLines="20" w:before="48" w:afterLines="20" w:after="48"/>
              <w:rPr>
                <w:sz w:val="22"/>
                <w:szCs w:val="22"/>
              </w:rPr>
            </w:pPr>
            <w:r w:rsidRPr="00274233">
              <w:rPr>
                <w:sz w:val="22"/>
                <w:szCs w:val="22"/>
              </w:rPr>
              <w:t xml:space="preserve">QPA speech rate </w:t>
            </w:r>
          </w:p>
        </w:tc>
        <w:tc>
          <w:tcPr>
            <w:tcW w:w="1073" w:type="dxa"/>
            <w:tcBorders>
              <w:top w:val="single" w:sz="4" w:space="0" w:color="auto"/>
              <w:bottom w:val="nil"/>
            </w:tcBorders>
          </w:tcPr>
          <w:p w14:paraId="33D738D9"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w:t>
            </w:r>
          </w:p>
        </w:tc>
        <w:tc>
          <w:tcPr>
            <w:tcW w:w="1073" w:type="dxa"/>
            <w:tcBorders>
              <w:top w:val="single" w:sz="4" w:space="0" w:color="auto"/>
              <w:bottom w:val="nil"/>
            </w:tcBorders>
          </w:tcPr>
          <w:p w14:paraId="62ACBAF1"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0.820**</w:t>
            </w:r>
          </w:p>
        </w:tc>
        <w:tc>
          <w:tcPr>
            <w:tcW w:w="1073" w:type="dxa"/>
            <w:tcBorders>
              <w:top w:val="single" w:sz="4" w:space="0" w:color="auto"/>
              <w:bottom w:val="nil"/>
            </w:tcBorders>
          </w:tcPr>
          <w:p w14:paraId="178C8ECA"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0.846**</w:t>
            </w:r>
          </w:p>
        </w:tc>
        <w:tc>
          <w:tcPr>
            <w:tcW w:w="1074" w:type="dxa"/>
            <w:tcBorders>
              <w:top w:val="single" w:sz="4" w:space="0" w:color="auto"/>
              <w:bottom w:val="nil"/>
            </w:tcBorders>
          </w:tcPr>
          <w:p w14:paraId="064E89B1"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0.294</w:t>
            </w:r>
          </w:p>
        </w:tc>
        <w:tc>
          <w:tcPr>
            <w:tcW w:w="1073" w:type="dxa"/>
            <w:tcBorders>
              <w:top w:val="single" w:sz="4" w:space="0" w:color="auto"/>
              <w:bottom w:val="nil"/>
            </w:tcBorders>
          </w:tcPr>
          <w:p w14:paraId="0E050885"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0.813**</w:t>
            </w:r>
          </w:p>
        </w:tc>
        <w:tc>
          <w:tcPr>
            <w:tcW w:w="1073" w:type="dxa"/>
            <w:tcBorders>
              <w:top w:val="single" w:sz="4" w:space="0" w:color="auto"/>
              <w:bottom w:val="nil"/>
            </w:tcBorders>
          </w:tcPr>
          <w:p w14:paraId="72249926"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0.763*</w:t>
            </w:r>
          </w:p>
        </w:tc>
        <w:tc>
          <w:tcPr>
            <w:tcW w:w="1074" w:type="dxa"/>
            <w:tcBorders>
              <w:top w:val="single" w:sz="4" w:space="0" w:color="auto"/>
              <w:bottom w:val="nil"/>
            </w:tcBorders>
          </w:tcPr>
          <w:p w14:paraId="011447E9"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0.134</w:t>
            </w:r>
          </w:p>
        </w:tc>
      </w:tr>
      <w:tr w:rsidR="00274233" w:rsidRPr="00274233" w14:paraId="60EA3D57" w14:textId="77777777" w:rsidTr="00274233">
        <w:tc>
          <w:tcPr>
            <w:tcW w:w="2705" w:type="dxa"/>
            <w:tcBorders>
              <w:top w:val="nil"/>
            </w:tcBorders>
          </w:tcPr>
          <w:p w14:paraId="56FA9E01" w14:textId="77777777" w:rsidR="00274233" w:rsidRPr="00274233" w:rsidRDefault="00274233" w:rsidP="00B340D7">
            <w:pPr>
              <w:snapToGrid w:val="0"/>
              <w:spacing w:beforeLines="20" w:before="48" w:afterLines="20" w:after="48"/>
              <w:rPr>
                <w:sz w:val="22"/>
                <w:szCs w:val="22"/>
              </w:rPr>
            </w:pPr>
            <w:r w:rsidRPr="00274233">
              <w:rPr>
                <w:sz w:val="22"/>
                <w:szCs w:val="22"/>
              </w:rPr>
              <w:t xml:space="preserve">QPA closed class propn </w:t>
            </w:r>
          </w:p>
        </w:tc>
        <w:tc>
          <w:tcPr>
            <w:tcW w:w="1073" w:type="dxa"/>
            <w:tcBorders>
              <w:top w:val="nil"/>
            </w:tcBorders>
          </w:tcPr>
          <w:p w14:paraId="678C6676"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0.820**</w:t>
            </w:r>
          </w:p>
        </w:tc>
        <w:tc>
          <w:tcPr>
            <w:tcW w:w="1073" w:type="dxa"/>
            <w:tcBorders>
              <w:top w:val="nil"/>
            </w:tcBorders>
          </w:tcPr>
          <w:p w14:paraId="1043A326"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w:t>
            </w:r>
          </w:p>
        </w:tc>
        <w:tc>
          <w:tcPr>
            <w:tcW w:w="1073" w:type="dxa"/>
            <w:tcBorders>
              <w:top w:val="nil"/>
            </w:tcBorders>
          </w:tcPr>
          <w:p w14:paraId="0DD699F6"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0.815**</w:t>
            </w:r>
          </w:p>
        </w:tc>
        <w:tc>
          <w:tcPr>
            <w:tcW w:w="1074" w:type="dxa"/>
            <w:tcBorders>
              <w:top w:val="nil"/>
            </w:tcBorders>
          </w:tcPr>
          <w:p w14:paraId="7CDD2BD5"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0.298</w:t>
            </w:r>
          </w:p>
        </w:tc>
        <w:tc>
          <w:tcPr>
            <w:tcW w:w="1073" w:type="dxa"/>
            <w:tcBorders>
              <w:top w:val="nil"/>
            </w:tcBorders>
          </w:tcPr>
          <w:p w14:paraId="4BE796CB"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0.676*</w:t>
            </w:r>
          </w:p>
        </w:tc>
        <w:tc>
          <w:tcPr>
            <w:tcW w:w="1073" w:type="dxa"/>
            <w:tcBorders>
              <w:top w:val="nil"/>
            </w:tcBorders>
          </w:tcPr>
          <w:p w14:paraId="0E90D2E0"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0.766*</w:t>
            </w:r>
          </w:p>
        </w:tc>
        <w:tc>
          <w:tcPr>
            <w:tcW w:w="1074" w:type="dxa"/>
            <w:tcBorders>
              <w:top w:val="nil"/>
            </w:tcBorders>
          </w:tcPr>
          <w:p w14:paraId="64F688C8"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0.159</w:t>
            </w:r>
          </w:p>
        </w:tc>
      </w:tr>
      <w:tr w:rsidR="00274233" w:rsidRPr="00274233" w14:paraId="0F8DA6C2" w14:textId="77777777" w:rsidTr="00274233">
        <w:tc>
          <w:tcPr>
            <w:tcW w:w="2705" w:type="dxa"/>
          </w:tcPr>
          <w:p w14:paraId="154026E6" w14:textId="77777777" w:rsidR="00274233" w:rsidRPr="00274233" w:rsidRDefault="00274233" w:rsidP="00B340D7">
            <w:pPr>
              <w:snapToGrid w:val="0"/>
              <w:spacing w:beforeLines="20" w:before="48" w:afterLines="20" w:after="48"/>
              <w:rPr>
                <w:sz w:val="22"/>
                <w:szCs w:val="22"/>
                <w:lang w:val="en-US"/>
              </w:rPr>
            </w:pPr>
            <w:r w:rsidRPr="00274233">
              <w:rPr>
                <w:sz w:val="22"/>
                <w:szCs w:val="22"/>
                <w:lang w:val="en-US"/>
              </w:rPr>
              <w:t>Articulation rating</w:t>
            </w:r>
          </w:p>
        </w:tc>
        <w:tc>
          <w:tcPr>
            <w:tcW w:w="1073" w:type="dxa"/>
          </w:tcPr>
          <w:p w14:paraId="5920F56F"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0.846**</w:t>
            </w:r>
          </w:p>
        </w:tc>
        <w:tc>
          <w:tcPr>
            <w:tcW w:w="1073" w:type="dxa"/>
          </w:tcPr>
          <w:p w14:paraId="60747FC9"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0.815**</w:t>
            </w:r>
          </w:p>
        </w:tc>
        <w:tc>
          <w:tcPr>
            <w:tcW w:w="1073" w:type="dxa"/>
          </w:tcPr>
          <w:p w14:paraId="70572167"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w:t>
            </w:r>
          </w:p>
        </w:tc>
        <w:tc>
          <w:tcPr>
            <w:tcW w:w="1074" w:type="dxa"/>
          </w:tcPr>
          <w:p w14:paraId="59A94F06"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0.457</w:t>
            </w:r>
          </w:p>
        </w:tc>
        <w:tc>
          <w:tcPr>
            <w:tcW w:w="1073" w:type="dxa"/>
          </w:tcPr>
          <w:p w14:paraId="4F497484" w14:textId="77777777" w:rsidR="00274233" w:rsidRPr="00274233" w:rsidRDefault="00274233" w:rsidP="00B340D7">
            <w:pPr>
              <w:snapToGrid w:val="0"/>
              <w:spacing w:beforeLines="20" w:before="48" w:afterLines="20" w:after="48"/>
              <w:rPr>
                <w:color w:val="000000"/>
                <w:sz w:val="22"/>
                <w:szCs w:val="22"/>
              </w:rPr>
            </w:pPr>
            <w:r w:rsidRPr="00274233">
              <w:rPr>
                <w:color w:val="333333"/>
                <w:sz w:val="22"/>
                <w:szCs w:val="22"/>
              </w:rPr>
              <w:t>0.818**</w:t>
            </w:r>
          </w:p>
        </w:tc>
        <w:tc>
          <w:tcPr>
            <w:tcW w:w="1073" w:type="dxa"/>
          </w:tcPr>
          <w:p w14:paraId="5007D5E7"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0.826**</w:t>
            </w:r>
          </w:p>
        </w:tc>
        <w:tc>
          <w:tcPr>
            <w:tcW w:w="1074" w:type="dxa"/>
          </w:tcPr>
          <w:p w14:paraId="57A5D29D"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0.460</w:t>
            </w:r>
          </w:p>
        </w:tc>
      </w:tr>
      <w:tr w:rsidR="00274233" w:rsidRPr="00274233" w14:paraId="0F26D5E8" w14:textId="77777777" w:rsidTr="00274233">
        <w:tc>
          <w:tcPr>
            <w:tcW w:w="2705" w:type="dxa"/>
          </w:tcPr>
          <w:p w14:paraId="48430C29" w14:textId="77777777" w:rsidR="00274233" w:rsidRPr="00274233" w:rsidRDefault="00274233" w:rsidP="00B340D7">
            <w:pPr>
              <w:snapToGrid w:val="0"/>
              <w:spacing w:beforeLines="20" w:before="48" w:afterLines="20" w:after="48"/>
              <w:rPr>
                <w:sz w:val="22"/>
                <w:szCs w:val="22"/>
              </w:rPr>
            </w:pPr>
            <w:r w:rsidRPr="00274233">
              <w:rPr>
                <w:sz w:val="22"/>
                <w:szCs w:val="22"/>
                <w:lang w:val="en-US"/>
              </w:rPr>
              <w:t>Sentence context effect</w:t>
            </w:r>
          </w:p>
        </w:tc>
        <w:tc>
          <w:tcPr>
            <w:tcW w:w="1073" w:type="dxa"/>
          </w:tcPr>
          <w:p w14:paraId="4F3656C3"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0.294</w:t>
            </w:r>
          </w:p>
        </w:tc>
        <w:tc>
          <w:tcPr>
            <w:tcW w:w="1073" w:type="dxa"/>
          </w:tcPr>
          <w:p w14:paraId="72AB56D2"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0.298</w:t>
            </w:r>
          </w:p>
        </w:tc>
        <w:tc>
          <w:tcPr>
            <w:tcW w:w="1073" w:type="dxa"/>
          </w:tcPr>
          <w:p w14:paraId="322EAA47"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0.457</w:t>
            </w:r>
          </w:p>
        </w:tc>
        <w:tc>
          <w:tcPr>
            <w:tcW w:w="1074" w:type="dxa"/>
          </w:tcPr>
          <w:p w14:paraId="43474687"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w:t>
            </w:r>
          </w:p>
        </w:tc>
        <w:tc>
          <w:tcPr>
            <w:tcW w:w="1073" w:type="dxa"/>
          </w:tcPr>
          <w:p w14:paraId="20696FA1"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0.749*</w:t>
            </w:r>
          </w:p>
        </w:tc>
        <w:tc>
          <w:tcPr>
            <w:tcW w:w="1073" w:type="dxa"/>
          </w:tcPr>
          <w:p w14:paraId="07EC2B04"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0.728*</w:t>
            </w:r>
          </w:p>
        </w:tc>
        <w:tc>
          <w:tcPr>
            <w:tcW w:w="1074" w:type="dxa"/>
          </w:tcPr>
          <w:p w14:paraId="0A3ADC6C"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0.785*</w:t>
            </w:r>
          </w:p>
        </w:tc>
      </w:tr>
      <w:tr w:rsidR="00274233" w:rsidRPr="00274233" w14:paraId="018C0130" w14:textId="77777777" w:rsidTr="00274233">
        <w:tc>
          <w:tcPr>
            <w:tcW w:w="2705" w:type="dxa"/>
          </w:tcPr>
          <w:p w14:paraId="5FE8E15F" w14:textId="0812D803" w:rsidR="00274233" w:rsidRPr="00274233" w:rsidRDefault="00274233" w:rsidP="00B340D7">
            <w:pPr>
              <w:snapToGrid w:val="0"/>
              <w:spacing w:beforeLines="20" w:before="48" w:afterLines="20" w:after="48"/>
              <w:rPr>
                <w:sz w:val="22"/>
                <w:szCs w:val="22"/>
                <w:lang w:val="en-US"/>
              </w:rPr>
            </w:pPr>
            <w:r w:rsidRPr="00274233">
              <w:rPr>
                <w:sz w:val="22"/>
                <w:szCs w:val="22"/>
                <w:lang w:val="en-US"/>
              </w:rPr>
              <w:t>Subject freq</w:t>
            </w:r>
            <w:r w:rsidR="00785157">
              <w:rPr>
                <w:sz w:val="22"/>
                <w:szCs w:val="22"/>
                <w:lang w:val="en-US"/>
              </w:rPr>
              <w:t>.</w:t>
            </w:r>
            <w:r w:rsidRPr="00274233">
              <w:rPr>
                <w:sz w:val="22"/>
                <w:szCs w:val="22"/>
                <w:lang w:val="en-US"/>
              </w:rPr>
              <w:t xml:space="preserve"> effect</w:t>
            </w:r>
          </w:p>
        </w:tc>
        <w:tc>
          <w:tcPr>
            <w:tcW w:w="1073" w:type="dxa"/>
          </w:tcPr>
          <w:p w14:paraId="041AED48"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0.813**</w:t>
            </w:r>
          </w:p>
        </w:tc>
        <w:tc>
          <w:tcPr>
            <w:tcW w:w="1073" w:type="dxa"/>
          </w:tcPr>
          <w:p w14:paraId="180D88A0"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0.676*</w:t>
            </w:r>
          </w:p>
        </w:tc>
        <w:tc>
          <w:tcPr>
            <w:tcW w:w="1073" w:type="dxa"/>
          </w:tcPr>
          <w:p w14:paraId="5A3F0EB5"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0.818**</w:t>
            </w:r>
          </w:p>
        </w:tc>
        <w:tc>
          <w:tcPr>
            <w:tcW w:w="1074" w:type="dxa"/>
          </w:tcPr>
          <w:p w14:paraId="40241284"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0.749*</w:t>
            </w:r>
          </w:p>
        </w:tc>
        <w:tc>
          <w:tcPr>
            <w:tcW w:w="1073" w:type="dxa"/>
          </w:tcPr>
          <w:p w14:paraId="42E726D9"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w:t>
            </w:r>
          </w:p>
        </w:tc>
        <w:tc>
          <w:tcPr>
            <w:tcW w:w="1073" w:type="dxa"/>
          </w:tcPr>
          <w:p w14:paraId="38CA24F4"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0.963</w:t>
            </w:r>
            <w:r w:rsidRPr="00274233">
              <w:rPr>
                <w:color w:val="333333"/>
                <w:sz w:val="20"/>
                <w:szCs w:val="20"/>
              </w:rPr>
              <w:t>***</w:t>
            </w:r>
          </w:p>
        </w:tc>
        <w:tc>
          <w:tcPr>
            <w:tcW w:w="1074" w:type="dxa"/>
          </w:tcPr>
          <w:p w14:paraId="3DF8817A"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0.532</w:t>
            </w:r>
          </w:p>
        </w:tc>
      </w:tr>
      <w:tr w:rsidR="00274233" w:rsidRPr="00274233" w14:paraId="34B4401A" w14:textId="77777777" w:rsidTr="00274233">
        <w:tc>
          <w:tcPr>
            <w:tcW w:w="2705" w:type="dxa"/>
          </w:tcPr>
          <w:p w14:paraId="73163612" w14:textId="77777777" w:rsidR="00274233" w:rsidRPr="00274233" w:rsidRDefault="00274233" w:rsidP="00B340D7">
            <w:pPr>
              <w:snapToGrid w:val="0"/>
              <w:spacing w:beforeLines="20" w:before="48" w:afterLines="20" w:after="48"/>
              <w:rPr>
                <w:sz w:val="22"/>
                <w:szCs w:val="22"/>
              </w:rPr>
            </w:pPr>
            <w:r w:rsidRPr="00274233">
              <w:rPr>
                <w:sz w:val="22"/>
                <w:szCs w:val="22"/>
              </w:rPr>
              <w:t>Sentence relatedness effect</w:t>
            </w:r>
          </w:p>
        </w:tc>
        <w:tc>
          <w:tcPr>
            <w:tcW w:w="1073" w:type="dxa"/>
          </w:tcPr>
          <w:p w14:paraId="3625541E"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0.763*</w:t>
            </w:r>
          </w:p>
        </w:tc>
        <w:tc>
          <w:tcPr>
            <w:tcW w:w="1073" w:type="dxa"/>
          </w:tcPr>
          <w:p w14:paraId="5118C06A"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0.766*</w:t>
            </w:r>
          </w:p>
        </w:tc>
        <w:tc>
          <w:tcPr>
            <w:tcW w:w="1073" w:type="dxa"/>
          </w:tcPr>
          <w:p w14:paraId="3D9A8138"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0.826**</w:t>
            </w:r>
          </w:p>
        </w:tc>
        <w:tc>
          <w:tcPr>
            <w:tcW w:w="1074" w:type="dxa"/>
          </w:tcPr>
          <w:p w14:paraId="6B5C0B98"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0.728*</w:t>
            </w:r>
          </w:p>
        </w:tc>
        <w:tc>
          <w:tcPr>
            <w:tcW w:w="1073" w:type="dxa"/>
          </w:tcPr>
          <w:p w14:paraId="4535C6A5"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0.963</w:t>
            </w:r>
            <w:r w:rsidRPr="00274233">
              <w:rPr>
                <w:color w:val="333333"/>
                <w:sz w:val="20"/>
                <w:szCs w:val="20"/>
              </w:rPr>
              <w:t>***</w:t>
            </w:r>
          </w:p>
        </w:tc>
        <w:tc>
          <w:tcPr>
            <w:tcW w:w="1073" w:type="dxa"/>
          </w:tcPr>
          <w:p w14:paraId="3B128EAB"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w:t>
            </w:r>
          </w:p>
        </w:tc>
        <w:tc>
          <w:tcPr>
            <w:tcW w:w="1074" w:type="dxa"/>
          </w:tcPr>
          <w:p w14:paraId="51F81115"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0.500</w:t>
            </w:r>
          </w:p>
        </w:tc>
      </w:tr>
      <w:tr w:rsidR="00274233" w:rsidRPr="00274233" w14:paraId="68891C4E" w14:textId="77777777" w:rsidTr="00274233">
        <w:tc>
          <w:tcPr>
            <w:tcW w:w="2705" w:type="dxa"/>
          </w:tcPr>
          <w:p w14:paraId="020BE763" w14:textId="77777777" w:rsidR="00274233" w:rsidRPr="00274233" w:rsidRDefault="00274233" w:rsidP="00B340D7">
            <w:pPr>
              <w:snapToGrid w:val="0"/>
              <w:spacing w:beforeLines="20" w:before="48" w:afterLines="20" w:after="48"/>
              <w:rPr>
                <w:sz w:val="22"/>
                <w:szCs w:val="22"/>
                <w:lang w:val="en-US"/>
              </w:rPr>
            </w:pPr>
            <w:r w:rsidRPr="00274233">
              <w:rPr>
                <w:sz w:val="22"/>
                <w:szCs w:val="22"/>
                <w:lang w:val="en-US"/>
              </w:rPr>
              <w:t>BCNT relatedness * cycle</w:t>
            </w:r>
          </w:p>
        </w:tc>
        <w:tc>
          <w:tcPr>
            <w:tcW w:w="1073" w:type="dxa"/>
          </w:tcPr>
          <w:p w14:paraId="1DB86E73"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0.134</w:t>
            </w:r>
          </w:p>
        </w:tc>
        <w:tc>
          <w:tcPr>
            <w:tcW w:w="1073" w:type="dxa"/>
          </w:tcPr>
          <w:p w14:paraId="4771EF12"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0.159</w:t>
            </w:r>
          </w:p>
        </w:tc>
        <w:tc>
          <w:tcPr>
            <w:tcW w:w="1073" w:type="dxa"/>
          </w:tcPr>
          <w:p w14:paraId="78ED6658"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0.460</w:t>
            </w:r>
          </w:p>
        </w:tc>
        <w:tc>
          <w:tcPr>
            <w:tcW w:w="1074" w:type="dxa"/>
          </w:tcPr>
          <w:p w14:paraId="467C31E2"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0.785*</w:t>
            </w:r>
          </w:p>
        </w:tc>
        <w:tc>
          <w:tcPr>
            <w:tcW w:w="1073" w:type="dxa"/>
          </w:tcPr>
          <w:p w14:paraId="259284F1"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0.532</w:t>
            </w:r>
          </w:p>
        </w:tc>
        <w:tc>
          <w:tcPr>
            <w:tcW w:w="1073" w:type="dxa"/>
          </w:tcPr>
          <w:p w14:paraId="0102E33A"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0.500</w:t>
            </w:r>
          </w:p>
        </w:tc>
        <w:tc>
          <w:tcPr>
            <w:tcW w:w="1074" w:type="dxa"/>
          </w:tcPr>
          <w:p w14:paraId="66D3DB18" w14:textId="77777777" w:rsidR="00274233" w:rsidRPr="00274233" w:rsidRDefault="00274233" w:rsidP="00B340D7">
            <w:pPr>
              <w:snapToGrid w:val="0"/>
              <w:spacing w:beforeLines="20" w:before="48" w:afterLines="20" w:after="48"/>
              <w:rPr>
                <w:sz w:val="22"/>
                <w:szCs w:val="22"/>
              </w:rPr>
            </w:pPr>
            <w:r w:rsidRPr="00274233">
              <w:rPr>
                <w:color w:val="333333"/>
                <w:sz w:val="22"/>
                <w:szCs w:val="22"/>
              </w:rPr>
              <w:t>—</w:t>
            </w:r>
          </w:p>
        </w:tc>
      </w:tr>
    </w:tbl>
    <w:p w14:paraId="5DB2C361" w14:textId="106AF56E" w:rsidR="008E0F43" w:rsidRDefault="00741F1A" w:rsidP="00741F1A">
      <w:pPr>
        <w:spacing w:line="360" w:lineRule="auto"/>
        <w:rPr>
          <w:bCs/>
          <w:lang w:val="en-AU"/>
        </w:rPr>
      </w:pPr>
      <w:r w:rsidRPr="00450A52">
        <w:rPr>
          <w:bCs/>
          <w:lang w:val="en-AU"/>
        </w:rPr>
        <w:t>*</w:t>
      </w:r>
      <w:r w:rsidRPr="00450A52">
        <w:rPr>
          <w:bCs/>
          <w:i/>
          <w:lang w:val="en-AU"/>
        </w:rPr>
        <w:t>p</w:t>
      </w:r>
      <w:r w:rsidRPr="00450A52">
        <w:rPr>
          <w:bCs/>
          <w:lang w:val="en-AU"/>
        </w:rPr>
        <w:t>&lt;.05</w:t>
      </w:r>
      <w:r w:rsidR="00632354">
        <w:rPr>
          <w:bCs/>
          <w:lang w:val="en-AU"/>
        </w:rPr>
        <w:t xml:space="preserve">; </w:t>
      </w:r>
      <w:r w:rsidR="00C938CF">
        <w:rPr>
          <w:bCs/>
          <w:lang w:val="en-AU"/>
        </w:rPr>
        <w:t>**</w:t>
      </w:r>
      <w:r w:rsidR="00C938CF" w:rsidRPr="00C938CF">
        <w:rPr>
          <w:bCs/>
          <w:i/>
          <w:iCs/>
          <w:lang w:val="en-AU"/>
        </w:rPr>
        <w:t>p</w:t>
      </w:r>
      <w:r w:rsidR="00C938CF">
        <w:rPr>
          <w:bCs/>
          <w:lang w:val="en-AU"/>
        </w:rPr>
        <w:t xml:space="preserve"> &lt; .01; </w:t>
      </w:r>
      <w:r w:rsidR="00632354">
        <w:rPr>
          <w:bCs/>
          <w:lang w:val="en-AU"/>
        </w:rPr>
        <w:t xml:space="preserve">*** </w:t>
      </w:r>
      <w:r w:rsidR="00632354" w:rsidRPr="00632354">
        <w:rPr>
          <w:bCs/>
          <w:i/>
          <w:iCs/>
          <w:lang w:val="en-AU"/>
        </w:rPr>
        <w:t>p</w:t>
      </w:r>
      <w:r w:rsidR="00632354">
        <w:rPr>
          <w:bCs/>
          <w:lang w:val="en-AU"/>
        </w:rPr>
        <w:t xml:space="preserve"> &lt; .001.</w:t>
      </w:r>
    </w:p>
    <w:p w14:paraId="1706A65C" w14:textId="77777777" w:rsidR="00545A2E" w:rsidRDefault="00545A2E" w:rsidP="0043731F">
      <w:pPr>
        <w:rPr>
          <w:bCs/>
          <w:lang w:val="en-AU"/>
        </w:rPr>
      </w:pPr>
    </w:p>
    <w:p w14:paraId="68A9EDBD" w14:textId="279DFACB" w:rsidR="00E016A3" w:rsidRPr="0043731F" w:rsidRDefault="00E016A3" w:rsidP="00E016A3">
      <w:pPr>
        <w:spacing w:line="360" w:lineRule="auto"/>
        <w:rPr>
          <w:b/>
          <w:sz w:val="22"/>
          <w:szCs w:val="22"/>
        </w:rPr>
      </w:pPr>
      <w:r w:rsidRPr="0043731F">
        <w:rPr>
          <w:b/>
          <w:sz w:val="22"/>
          <w:szCs w:val="22"/>
        </w:rPr>
        <w:t xml:space="preserve">Table </w:t>
      </w:r>
      <w:r w:rsidR="00AE5A5B" w:rsidRPr="0043731F">
        <w:rPr>
          <w:b/>
          <w:sz w:val="22"/>
          <w:szCs w:val="22"/>
        </w:rPr>
        <w:t>3</w:t>
      </w:r>
    </w:p>
    <w:p w14:paraId="41EFBF56" w14:textId="3EBD4998" w:rsidR="00B0763A" w:rsidRPr="00936A52" w:rsidRDefault="00E016A3" w:rsidP="00B0763A">
      <w:pPr>
        <w:spacing w:line="360" w:lineRule="auto"/>
        <w:rPr>
          <w:bCs/>
          <w:sz w:val="22"/>
          <w:szCs w:val="22"/>
        </w:rPr>
      </w:pPr>
      <w:r w:rsidRPr="0043731F">
        <w:rPr>
          <w:bCs/>
          <w:sz w:val="22"/>
          <w:szCs w:val="22"/>
        </w:rPr>
        <w:t xml:space="preserve">Correlation matrix </w:t>
      </w:r>
      <w:r w:rsidR="00DB7BF2" w:rsidRPr="0043731F">
        <w:rPr>
          <w:bCs/>
          <w:sz w:val="22"/>
          <w:szCs w:val="22"/>
        </w:rPr>
        <w:t xml:space="preserve">for </w:t>
      </w:r>
      <w:r w:rsidR="00042D59">
        <w:rPr>
          <w:bCs/>
          <w:sz w:val="22"/>
          <w:szCs w:val="22"/>
        </w:rPr>
        <w:t xml:space="preserve">the </w:t>
      </w:r>
      <w:r w:rsidR="00C938CF">
        <w:rPr>
          <w:bCs/>
          <w:sz w:val="22"/>
          <w:szCs w:val="22"/>
        </w:rPr>
        <w:t>seven</w:t>
      </w:r>
      <w:r w:rsidR="00042D59">
        <w:rPr>
          <w:bCs/>
          <w:sz w:val="22"/>
          <w:szCs w:val="22"/>
        </w:rPr>
        <w:t xml:space="preserve"> </w:t>
      </w:r>
      <w:r w:rsidR="00A21E9B" w:rsidRPr="0043731F">
        <w:rPr>
          <w:bCs/>
          <w:sz w:val="22"/>
          <w:szCs w:val="22"/>
        </w:rPr>
        <w:t xml:space="preserve">key </w:t>
      </w:r>
      <w:r w:rsidR="00DB7BF2" w:rsidRPr="0043731F">
        <w:rPr>
          <w:bCs/>
          <w:sz w:val="22"/>
          <w:szCs w:val="22"/>
        </w:rPr>
        <w:t>behavioural</w:t>
      </w:r>
      <w:r w:rsidRPr="0043731F">
        <w:rPr>
          <w:bCs/>
          <w:sz w:val="22"/>
          <w:szCs w:val="22"/>
        </w:rPr>
        <w:t xml:space="preserve"> measures</w:t>
      </w:r>
      <w:r w:rsidR="0045779B" w:rsidRPr="0043731F">
        <w:rPr>
          <w:bCs/>
          <w:sz w:val="22"/>
          <w:szCs w:val="22"/>
        </w:rPr>
        <w:t>.</w:t>
      </w:r>
    </w:p>
    <w:p w14:paraId="6886FD77" w14:textId="77777777" w:rsidR="00B261CD" w:rsidRDefault="00B261CD" w:rsidP="001263D3">
      <w:pPr>
        <w:spacing w:line="480" w:lineRule="auto"/>
        <w:ind w:firstLine="720"/>
        <w:rPr>
          <w:shd w:val="clear" w:color="auto" w:fill="FBE4D5" w:themeFill="accent2" w:themeFillTint="33"/>
        </w:rPr>
      </w:pP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764"/>
        <w:gridCol w:w="2764"/>
      </w:tblGrid>
      <w:tr w:rsidR="00B261CD" w:rsidRPr="00936A52" w14:paraId="7394D073" w14:textId="77777777" w:rsidTr="00B261CD">
        <w:tc>
          <w:tcPr>
            <w:tcW w:w="3686" w:type="dxa"/>
            <w:tcBorders>
              <w:bottom w:val="nil"/>
            </w:tcBorders>
          </w:tcPr>
          <w:p w14:paraId="6ECBE0CA" w14:textId="77777777" w:rsidR="004B5E4B" w:rsidRPr="00936A52" w:rsidRDefault="004B5E4B" w:rsidP="00274233">
            <w:pPr>
              <w:spacing w:before="40" w:after="40"/>
              <w:rPr>
                <w:sz w:val="22"/>
                <w:szCs w:val="22"/>
                <w:shd w:val="clear" w:color="auto" w:fill="FBE4D5" w:themeFill="accent2" w:themeFillTint="33"/>
              </w:rPr>
            </w:pPr>
          </w:p>
        </w:tc>
        <w:tc>
          <w:tcPr>
            <w:tcW w:w="5528" w:type="dxa"/>
            <w:gridSpan w:val="2"/>
            <w:tcBorders>
              <w:bottom w:val="single" w:sz="4" w:space="0" w:color="auto"/>
            </w:tcBorders>
            <w:shd w:val="clear" w:color="auto" w:fill="FFFFFF" w:themeFill="background1"/>
          </w:tcPr>
          <w:p w14:paraId="076CCA2D" w14:textId="5034AF31" w:rsidR="004B5E4B" w:rsidRPr="00936A52" w:rsidRDefault="004B5E4B" w:rsidP="00274233">
            <w:pPr>
              <w:spacing w:before="40" w:after="40"/>
              <w:jc w:val="center"/>
              <w:rPr>
                <w:sz w:val="22"/>
                <w:szCs w:val="22"/>
                <w:shd w:val="clear" w:color="auto" w:fill="FBE4D5" w:themeFill="accent2" w:themeFillTint="33"/>
              </w:rPr>
            </w:pPr>
            <w:r w:rsidRPr="00936A52">
              <w:rPr>
                <w:sz w:val="22"/>
                <w:szCs w:val="22"/>
                <w:shd w:val="clear" w:color="auto" w:fill="FFFFFF" w:themeFill="background1"/>
              </w:rPr>
              <w:t>Component</w:t>
            </w:r>
          </w:p>
        </w:tc>
      </w:tr>
      <w:tr w:rsidR="00B261CD" w:rsidRPr="00936A52" w14:paraId="4DEFB13F" w14:textId="77777777" w:rsidTr="00B261CD">
        <w:tc>
          <w:tcPr>
            <w:tcW w:w="3686" w:type="dxa"/>
            <w:tcBorders>
              <w:top w:val="nil"/>
              <w:bottom w:val="single" w:sz="4" w:space="0" w:color="auto"/>
            </w:tcBorders>
          </w:tcPr>
          <w:p w14:paraId="2F0DBD25" w14:textId="77777777" w:rsidR="004B5E4B" w:rsidRPr="00936A52" w:rsidRDefault="004B5E4B" w:rsidP="00274233">
            <w:pPr>
              <w:spacing w:before="40" w:after="40"/>
              <w:rPr>
                <w:sz w:val="22"/>
                <w:szCs w:val="22"/>
                <w:shd w:val="clear" w:color="auto" w:fill="FBE4D5" w:themeFill="accent2" w:themeFillTint="33"/>
              </w:rPr>
            </w:pPr>
          </w:p>
        </w:tc>
        <w:tc>
          <w:tcPr>
            <w:tcW w:w="2764" w:type="dxa"/>
            <w:tcBorders>
              <w:top w:val="single" w:sz="4" w:space="0" w:color="auto"/>
              <w:bottom w:val="single" w:sz="4" w:space="0" w:color="auto"/>
            </w:tcBorders>
            <w:shd w:val="clear" w:color="auto" w:fill="auto"/>
          </w:tcPr>
          <w:p w14:paraId="3D1E078A" w14:textId="5C7B2010" w:rsidR="004B5E4B" w:rsidRPr="00936A52" w:rsidRDefault="004B5E4B" w:rsidP="00274233">
            <w:pPr>
              <w:spacing w:before="40" w:after="40"/>
              <w:jc w:val="center"/>
              <w:rPr>
                <w:i/>
                <w:iCs/>
                <w:sz w:val="22"/>
                <w:szCs w:val="22"/>
                <w:shd w:val="clear" w:color="auto" w:fill="FBE4D5" w:themeFill="accent2" w:themeFillTint="33"/>
              </w:rPr>
            </w:pPr>
            <w:r w:rsidRPr="00936A52">
              <w:rPr>
                <w:i/>
                <w:iCs/>
                <w:sz w:val="22"/>
                <w:szCs w:val="22"/>
                <w:shd w:val="clear" w:color="auto" w:fill="FFFFFF" w:themeFill="background1"/>
              </w:rPr>
              <w:t xml:space="preserve">Fluency </w:t>
            </w:r>
            <w:r w:rsidR="00B261CD" w:rsidRPr="00936A52">
              <w:rPr>
                <w:i/>
                <w:iCs/>
                <w:sz w:val="22"/>
                <w:szCs w:val="22"/>
                <w:shd w:val="clear" w:color="auto" w:fill="FFFFFF" w:themeFill="background1"/>
              </w:rPr>
              <w:t>&amp;</w:t>
            </w:r>
            <w:r w:rsidRPr="00936A52">
              <w:rPr>
                <w:i/>
                <w:iCs/>
                <w:sz w:val="22"/>
                <w:szCs w:val="22"/>
                <w:shd w:val="clear" w:color="auto" w:fill="FFFFFF" w:themeFill="background1"/>
              </w:rPr>
              <w:t xml:space="preserve"> grammaticality</w:t>
            </w:r>
          </w:p>
        </w:tc>
        <w:tc>
          <w:tcPr>
            <w:tcW w:w="2764" w:type="dxa"/>
            <w:tcBorders>
              <w:top w:val="single" w:sz="4" w:space="0" w:color="auto"/>
              <w:bottom w:val="single" w:sz="4" w:space="0" w:color="auto"/>
            </w:tcBorders>
            <w:shd w:val="clear" w:color="auto" w:fill="FFFFFF" w:themeFill="background1"/>
          </w:tcPr>
          <w:p w14:paraId="4413FD78" w14:textId="2DD80DBD" w:rsidR="004B5E4B" w:rsidRPr="00936A52" w:rsidRDefault="00B261CD" w:rsidP="00274233">
            <w:pPr>
              <w:spacing w:before="40" w:after="40"/>
              <w:jc w:val="center"/>
              <w:rPr>
                <w:i/>
                <w:iCs/>
                <w:sz w:val="22"/>
                <w:szCs w:val="22"/>
                <w:shd w:val="clear" w:color="auto" w:fill="FBE4D5" w:themeFill="accent2" w:themeFillTint="33"/>
              </w:rPr>
            </w:pPr>
            <w:r w:rsidRPr="00936A52">
              <w:rPr>
                <w:i/>
                <w:iCs/>
                <w:sz w:val="22"/>
                <w:szCs w:val="22"/>
                <w:shd w:val="clear" w:color="auto" w:fill="FFFFFF" w:themeFill="background1"/>
              </w:rPr>
              <w:t>C</w:t>
            </w:r>
            <w:r w:rsidR="004B5E4B" w:rsidRPr="00936A52">
              <w:rPr>
                <w:i/>
                <w:iCs/>
                <w:sz w:val="22"/>
                <w:szCs w:val="22"/>
                <w:shd w:val="clear" w:color="auto" w:fill="FFFFFF" w:themeFill="background1"/>
              </w:rPr>
              <w:t>ontext</w:t>
            </w:r>
            <w:r w:rsidRPr="00936A52">
              <w:rPr>
                <w:i/>
                <w:iCs/>
                <w:sz w:val="22"/>
                <w:szCs w:val="22"/>
                <w:shd w:val="clear" w:color="auto" w:fill="FFFFFF" w:themeFill="background1"/>
              </w:rPr>
              <w:t xml:space="preserve"> sensitivity</w:t>
            </w:r>
          </w:p>
        </w:tc>
      </w:tr>
      <w:tr w:rsidR="006F4373" w:rsidRPr="00936A52" w14:paraId="03ABBEC2" w14:textId="77777777" w:rsidTr="006F4373">
        <w:tc>
          <w:tcPr>
            <w:tcW w:w="3686" w:type="dxa"/>
            <w:tcBorders>
              <w:bottom w:val="nil"/>
            </w:tcBorders>
          </w:tcPr>
          <w:p w14:paraId="22674643" w14:textId="77777777" w:rsidR="006F4373" w:rsidRPr="00936A52" w:rsidRDefault="006F4373" w:rsidP="00274233">
            <w:pPr>
              <w:spacing w:before="40" w:after="40"/>
              <w:ind w:left="34"/>
              <w:rPr>
                <w:sz w:val="22"/>
                <w:szCs w:val="22"/>
                <w:shd w:val="clear" w:color="auto" w:fill="FBE4D5" w:themeFill="accent2" w:themeFillTint="33"/>
              </w:rPr>
            </w:pPr>
            <w:r w:rsidRPr="00936A52">
              <w:rPr>
                <w:sz w:val="22"/>
                <w:szCs w:val="22"/>
              </w:rPr>
              <w:t xml:space="preserve">QPA speech rate </w:t>
            </w:r>
          </w:p>
        </w:tc>
        <w:tc>
          <w:tcPr>
            <w:tcW w:w="2764" w:type="dxa"/>
            <w:tcBorders>
              <w:bottom w:val="nil"/>
            </w:tcBorders>
            <w:vAlign w:val="bottom"/>
          </w:tcPr>
          <w:p w14:paraId="6EFF3867" w14:textId="63CD7021"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0.958</w:t>
            </w:r>
          </w:p>
        </w:tc>
        <w:tc>
          <w:tcPr>
            <w:tcW w:w="2764" w:type="dxa"/>
            <w:tcBorders>
              <w:bottom w:val="nil"/>
            </w:tcBorders>
            <w:vAlign w:val="bottom"/>
          </w:tcPr>
          <w:p w14:paraId="5023ACDF" w14:textId="77777777" w:rsidR="006F4373" w:rsidRPr="00936A52" w:rsidRDefault="006F4373" w:rsidP="00274233">
            <w:pPr>
              <w:spacing w:before="40" w:after="40"/>
              <w:jc w:val="center"/>
              <w:rPr>
                <w:sz w:val="22"/>
                <w:szCs w:val="22"/>
                <w:shd w:val="clear" w:color="auto" w:fill="FBE4D5" w:themeFill="accent2" w:themeFillTint="33"/>
              </w:rPr>
            </w:pPr>
          </w:p>
        </w:tc>
      </w:tr>
      <w:tr w:rsidR="006F4373" w:rsidRPr="00936A52" w14:paraId="78CFC836" w14:textId="77777777" w:rsidTr="006F4373">
        <w:tc>
          <w:tcPr>
            <w:tcW w:w="3686" w:type="dxa"/>
            <w:tcBorders>
              <w:top w:val="nil"/>
              <w:bottom w:val="nil"/>
            </w:tcBorders>
          </w:tcPr>
          <w:p w14:paraId="6EC1C07C" w14:textId="77777777" w:rsidR="006F4373" w:rsidRPr="00936A52" w:rsidRDefault="006F4373" w:rsidP="00274233">
            <w:pPr>
              <w:spacing w:before="40" w:after="40"/>
              <w:ind w:left="34"/>
              <w:rPr>
                <w:sz w:val="22"/>
                <w:szCs w:val="22"/>
                <w:shd w:val="clear" w:color="auto" w:fill="FBE4D5" w:themeFill="accent2" w:themeFillTint="33"/>
              </w:rPr>
            </w:pPr>
            <w:r w:rsidRPr="00936A52">
              <w:rPr>
                <w:sz w:val="22"/>
                <w:szCs w:val="22"/>
              </w:rPr>
              <w:t xml:space="preserve">QPA closed class proportion </w:t>
            </w:r>
          </w:p>
        </w:tc>
        <w:tc>
          <w:tcPr>
            <w:tcW w:w="2764" w:type="dxa"/>
            <w:tcBorders>
              <w:top w:val="nil"/>
              <w:bottom w:val="nil"/>
            </w:tcBorders>
            <w:vAlign w:val="bottom"/>
          </w:tcPr>
          <w:p w14:paraId="1A02551A" w14:textId="30FDF4EF"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0.925</w:t>
            </w:r>
          </w:p>
        </w:tc>
        <w:tc>
          <w:tcPr>
            <w:tcW w:w="2764" w:type="dxa"/>
            <w:tcBorders>
              <w:top w:val="nil"/>
              <w:bottom w:val="nil"/>
            </w:tcBorders>
            <w:vAlign w:val="bottom"/>
          </w:tcPr>
          <w:p w14:paraId="66878A41" w14:textId="77777777" w:rsidR="006F4373" w:rsidRPr="00936A52" w:rsidRDefault="006F4373" w:rsidP="00274233">
            <w:pPr>
              <w:spacing w:before="40" w:after="40"/>
              <w:jc w:val="center"/>
              <w:rPr>
                <w:sz w:val="22"/>
                <w:szCs w:val="22"/>
                <w:shd w:val="clear" w:color="auto" w:fill="FBE4D5" w:themeFill="accent2" w:themeFillTint="33"/>
              </w:rPr>
            </w:pPr>
          </w:p>
        </w:tc>
      </w:tr>
      <w:tr w:rsidR="006F4373" w:rsidRPr="00936A52" w14:paraId="36AB84C1" w14:textId="77777777" w:rsidTr="006F4373">
        <w:tc>
          <w:tcPr>
            <w:tcW w:w="3686" w:type="dxa"/>
            <w:tcBorders>
              <w:top w:val="nil"/>
            </w:tcBorders>
          </w:tcPr>
          <w:p w14:paraId="261487FC" w14:textId="2411C1F5" w:rsidR="006F4373" w:rsidRPr="00936A52" w:rsidRDefault="006F4373" w:rsidP="00274233">
            <w:pPr>
              <w:spacing w:before="40" w:after="40"/>
              <w:ind w:left="34"/>
              <w:rPr>
                <w:sz w:val="22"/>
                <w:szCs w:val="22"/>
                <w:lang w:val="en-US"/>
              </w:rPr>
            </w:pPr>
            <w:r w:rsidRPr="00936A52">
              <w:rPr>
                <w:sz w:val="22"/>
                <w:szCs w:val="22"/>
                <w:lang w:val="en-US"/>
              </w:rPr>
              <w:t>Articulatory agility rating</w:t>
            </w:r>
          </w:p>
        </w:tc>
        <w:tc>
          <w:tcPr>
            <w:tcW w:w="2764" w:type="dxa"/>
            <w:tcBorders>
              <w:top w:val="nil"/>
            </w:tcBorders>
            <w:vAlign w:val="bottom"/>
          </w:tcPr>
          <w:p w14:paraId="7CB1A22A" w14:textId="19AA3B1C"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0.873</w:t>
            </w:r>
          </w:p>
        </w:tc>
        <w:tc>
          <w:tcPr>
            <w:tcW w:w="2764" w:type="dxa"/>
            <w:tcBorders>
              <w:top w:val="nil"/>
            </w:tcBorders>
            <w:vAlign w:val="bottom"/>
          </w:tcPr>
          <w:p w14:paraId="45A71A5F" w14:textId="77777777" w:rsidR="006F4373" w:rsidRPr="00936A52" w:rsidRDefault="006F4373" w:rsidP="00274233">
            <w:pPr>
              <w:spacing w:before="40" w:after="40"/>
              <w:jc w:val="center"/>
              <w:rPr>
                <w:color w:val="333333"/>
                <w:sz w:val="22"/>
                <w:szCs w:val="22"/>
              </w:rPr>
            </w:pPr>
          </w:p>
        </w:tc>
      </w:tr>
      <w:tr w:rsidR="006F4373" w:rsidRPr="00936A52" w14:paraId="157C3F53" w14:textId="77777777" w:rsidTr="000E5A82">
        <w:tc>
          <w:tcPr>
            <w:tcW w:w="3686" w:type="dxa"/>
            <w:tcBorders>
              <w:top w:val="nil"/>
            </w:tcBorders>
          </w:tcPr>
          <w:p w14:paraId="7F6F90C1" w14:textId="1F84D26F" w:rsidR="006F4373" w:rsidRPr="00936A52" w:rsidRDefault="006F4373" w:rsidP="00274233">
            <w:pPr>
              <w:spacing w:before="40" w:after="40"/>
              <w:ind w:left="34"/>
              <w:rPr>
                <w:sz w:val="22"/>
                <w:szCs w:val="22"/>
                <w:shd w:val="clear" w:color="auto" w:fill="FBE4D5" w:themeFill="accent2" w:themeFillTint="33"/>
              </w:rPr>
            </w:pPr>
            <w:r w:rsidRPr="00936A52">
              <w:rPr>
                <w:sz w:val="22"/>
                <w:szCs w:val="22"/>
                <w:lang w:val="en-US"/>
              </w:rPr>
              <w:t>Sentence context effect</w:t>
            </w:r>
          </w:p>
        </w:tc>
        <w:tc>
          <w:tcPr>
            <w:tcW w:w="2764" w:type="dxa"/>
            <w:tcBorders>
              <w:top w:val="nil"/>
            </w:tcBorders>
            <w:vAlign w:val="bottom"/>
          </w:tcPr>
          <w:p w14:paraId="76113844" w14:textId="77777777" w:rsidR="006F4373" w:rsidRPr="00936A52" w:rsidRDefault="006F4373" w:rsidP="00274233">
            <w:pPr>
              <w:spacing w:before="40" w:after="40"/>
              <w:jc w:val="center"/>
              <w:rPr>
                <w:sz w:val="22"/>
                <w:szCs w:val="22"/>
                <w:shd w:val="clear" w:color="auto" w:fill="FBE4D5" w:themeFill="accent2" w:themeFillTint="33"/>
              </w:rPr>
            </w:pPr>
          </w:p>
        </w:tc>
        <w:tc>
          <w:tcPr>
            <w:tcW w:w="2764" w:type="dxa"/>
            <w:tcBorders>
              <w:top w:val="nil"/>
            </w:tcBorders>
            <w:vAlign w:val="bottom"/>
          </w:tcPr>
          <w:p w14:paraId="0DA88829" w14:textId="4DABDCE3"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0.922</w:t>
            </w:r>
          </w:p>
        </w:tc>
      </w:tr>
      <w:tr w:rsidR="006F4373" w:rsidRPr="00936A52" w14:paraId="6F3F4E17" w14:textId="77777777" w:rsidTr="000E5A82">
        <w:tc>
          <w:tcPr>
            <w:tcW w:w="3686" w:type="dxa"/>
          </w:tcPr>
          <w:p w14:paraId="5A960FFE" w14:textId="4589AA37" w:rsidR="006F4373" w:rsidRPr="00936A52" w:rsidRDefault="006F4373" w:rsidP="00274233">
            <w:pPr>
              <w:spacing w:before="40" w:after="40"/>
              <w:ind w:left="34"/>
              <w:rPr>
                <w:sz w:val="22"/>
                <w:szCs w:val="22"/>
                <w:shd w:val="clear" w:color="auto" w:fill="FBE4D5" w:themeFill="accent2" w:themeFillTint="33"/>
              </w:rPr>
            </w:pPr>
            <w:r w:rsidRPr="00936A52">
              <w:rPr>
                <w:sz w:val="22"/>
                <w:szCs w:val="22"/>
                <w:lang w:val="en-US"/>
              </w:rPr>
              <w:t>Subject frequency effect</w:t>
            </w:r>
          </w:p>
        </w:tc>
        <w:tc>
          <w:tcPr>
            <w:tcW w:w="2764" w:type="dxa"/>
            <w:vAlign w:val="bottom"/>
          </w:tcPr>
          <w:p w14:paraId="49F06FFE" w14:textId="72495A2D"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0.774</w:t>
            </w:r>
          </w:p>
        </w:tc>
        <w:tc>
          <w:tcPr>
            <w:tcW w:w="2764" w:type="dxa"/>
            <w:vAlign w:val="bottom"/>
          </w:tcPr>
          <w:p w14:paraId="2805529E" w14:textId="6788EE9B"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0.577</w:t>
            </w:r>
          </w:p>
        </w:tc>
      </w:tr>
      <w:tr w:rsidR="006F4373" w:rsidRPr="00936A52" w14:paraId="5471D700" w14:textId="77777777" w:rsidTr="000E5A82">
        <w:tc>
          <w:tcPr>
            <w:tcW w:w="3686" w:type="dxa"/>
          </w:tcPr>
          <w:p w14:paraId="6AA3A843" w14:textId="4D53DB2B" w:rsidR="006F4373" w:rsidRPr="00936A52" w:rsidRDefault="006F4373" w:rsidP="00274233">
            <w:pPr>
              <w:spacing w:before="40" w:after="40"/>
              <w:ind w:left="34"/>
              <w:rPr>
                <w:sz w:val="22"/>
                <w:szCs w:val="22"/>
                <w:shd w:val="clear" w:color="auto" w:fill="FBE4D5" w:themeFill="accent2" w:themeFillTint="33"/>
              </w:rPr>
            </w:pPr>
            <w:r w:rsidRPr="00936A52">
              <w:rPr>
                <w:sz w:val="22"/>
                <w:szCs w:val="22"/>
              </w:rPr>
              <w:t>Sentence relatedness effect</w:t>
            </w:r>
          </w:p>
        </w:tc>
        <w:tc>
          <w:tcPr>
            <w:tcW w:w="2764" w:type="dxa"/>
            <w:vAlign w:val="bottom"/>
          </w:tcPr>
          <w:p w14:paraId="237AFF5D" w14:textId="4B2FE500"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0.797</w:t>
            </w:r>
          </w:p>
        </w:tc>
        <w:tc>
          <w:tcPr>
            <w:tcW w:w="2764" w:type="dxa"/>
            <w:vAlign w:val="bottom"/>
          </w:tcPr>
          <w:p w14:paraId="40A35147" w14:textId="14D101C4"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0.544</w:t>
            </w:r>
          </w:p>
        </w:tc>
      </w:tr>
      <w:tr w:rsidR="006F4373" w:rsidRPr="00936A52" w14:paraId="735FA047" w14:textId="77777777" w:rsidTr="000E5A82">
        <w:tc>
          <w:tcPr>
            <w:tcW w:w="3686" w:type="dxa"/>
          </w:tcPr>
          <w:p w14:paraId="2E51FC68" w14:textId="6FF51CD6" w:rsidR="006F4373" w:rsidRPr="00936A52" w:rsidRDefault="006F4373" w:rsidP="00274233">
            <w:pPr>
              <w:spacing w:before="40" w:after="40"/>
              <w:ind w:left="34"/>
              <w:rPr>
                <w:sz w:val="22"/>
                <w:szCs w:val="22"/>
                <w:shd w:val="clear" w:color="auto" w:fill="FBE4D5" w:themeFill="accent2" w:themeFillTint="33"/>
              </w:rPr>
            </w:pPr>
            <w:r w:rsidRPr="00936A52">
              <w:rPr>
                <w:sz w:val="22"/>
                <w:szCs w:val="22"/>
                <w:lang w:val="en-US"/>
              </w:rPr>
              <w:t xml:space="preserve">BCNT relatedness x cycle </w:t>
            </w:r>
          </w:p>
        </w:tc>
        <w:tc>
          <w:tcPr>
            <w:tcW w:w="2764" w:type="dxa"/>
            <w:vAlign w:val="bottom"/>
          </w:tcPr>
          <w:p w14:paraId="1A4D00B8" w14:textId="77777777" w:rsidR="006F4373" w:rsidRPr="00936A52" w:rsidRDefault="006F4373" w:rsidP="00274233">
            <w:pPr>
              <w:spacing w:before="40" w:after="40"/>
              <w:jc w:val="center"/>
              <w:rPr>
                <w:sz w:val="22"/>
                <w:szCs w:val="22"/>
                <w:shd w:val="clear" w:color="auto" w:fill="FBE4D5" w:themeFill="accent2" w:themeFillTint="33"/>
              </w:rPr>
            </w:pPr>
          </w:p>
        </w:tc>
        <w:tc>
          <w:tcPr>
            <w:tcW w:w="2764" w:type="dxa"/>
            <w:vAlign w:val="bottom"/>
          </w:tcPr>
          <w:p w14:paraId="17214BA4" w14:textId="1E622755" w:rsidR="006F4373" w:rsidRPr="00936A52" w:rsidRDefault="006F4373" w:rsidP="00274233">
            <w:pPr>
              <w:spacing w:before="40" w:after="40"/>
              <w:jc w:val="center"/>
              <w:rPr>
                <w:sz w:val="22"/>
                <w:szCs w:val="22"/>
                <w:shd w:val="clear" w:color="auto" w:fill="FBE4D5" w:themeFill="accent2" w:themeFillTint="33"/>
              </w:rPr>
            </w:pPr>
            <w:r w:rsidRPr="00936A52">
              <w:rPr>
                <w:color w:val="333333"/>
                <w:sz w:val="22"/>
                <w:szCs w:val="22"/>
              </w:rPr>
              <w:t>0.928</w:t>
            </w:r>
          </w:p>
        </w:tc>
      </w:tr>
      <w:tr w:rsidR="006F4373" w:rsidRPr="00936A52" w14:paraId="04AC0530" w14:textId="77777777" w:rsidTr="00B261CD">
        <w:tc>
          <w:tcPr>
            <w:tcW w:w="3686" w:type="dxa"/>
            <w:tcBorders>
              <w:top w:val="single" w:sz="4" w:space="0" w:color="auto"/>
              <w:bottom w:val="single" w:sz="4" w:space="0" w:color="auto"/>
            </w:tcBorders>
          </w:tcPr>
          <w:p w14:paraId="52E1D74F" w14:textId="77777777" w:rsidR="006F4373" w:rsidRPr="00936A52" w:rsidRDefault="006F4373" w:rsidP="00274233">
            <w:pPr>
              <w:spacing w:before="40" w:after="40"/>
              <w:rPr>
                <w:sz w:val="22"/>
                <w:szCs w:val="22"/>
                <w:lang w:val="en-US"/>
              </w:rPr>
            </w:pPr>
            <w:r w:rsidRPr="00936A52">
              <w:rPr>
                <w:sz w:val="22"/>
                <w:szCs w:val="22"/>
                <w:lang w:val="en-US"/>
              </w:rPr>
              <w:t>Total variance accounted for</w:t>
            </w:r>
          </w:p>
        </w:tc>
        <w:tc>
          <w:tcPr>
            <w:tcW w:w="2764" w:type="dxa"/>
            <w:tcBorders>
              <w:top w:val="single" w:sz="4" w:space="0" w:color="auto"/>
              <w:bottom w:val="single" w:sz="4" w:space="0" w:color="auto"/>
            </w:tcBorders>
            <w:shd w:val="clear" w:color="auto" w:fill="FFFFFF" w:themeFill="background1"/>
          </w:tcPr>
          <w:p w14:paraId="3D0DD31B" w14:textId="57DF71CB" w:rsidR="006F4373" w:rsidRPr="00936A52" w:rsidRDefault="006F4373" w:rsidP="00274233">
            <w:pPr>
              <w:spacing w:before="40" w:after="40"/>
              <w:jc w:val="center"/>
              <w:rPr>
                <w:sz w:val="22"/>
                <w:szCs w:val="22"/>
                <w:shd w:val="clear" w:color="auto" w:fill="FBE4D5" w:themeFill="accent2" w:themeFillTint="33"/>
              </w:rPr>
            </w:pPr>
            <w:r w:rsidRPr="00936A52">
              <w:rPr>
                <w:sz w:val="22"/>
                <w:szCs w:val="22"/>
                <w:shd w:val="clear" w:color="auto" w:fill="FFFFFF" w:themeFill="background1"/>
              </w:rPr>
              <w:t>54.8%</w:t>
            </w:r>
          </w:p>
        </w:tc>
        <w:tc>
          <w:tcPr>
            <w:tcW w:w="2764" w:type="dxa"/>
            <w:tcBorders>
              <w:top w:val="single" w:sz="4" w:space="0" w:color="auto"/>
              <w:bottom w:val="single" w:sz="4" w:space="0" w:color="auto"/>
            </w:tcBorders>
            <w:vAlign w:val="center"/>
          </w:tcPr>
          <w:p w14:paraId="566891BE" w14:textId="4B57BEE4" w:rsidR="006F4373" w:rsidRPr="00936A52" w:rsidRDefault="006F4373" w:rsidP="00274233">
            <w:pPr>
              <w:spacing w:before="40" w:after="40"/>
              <w:jc w:val="center"/>
              <w:rPr>
                <w:color w:val="333333"/>
                <w:sz w:val="22"/>
                <w:szCs w:val="22"/>
              </w:rPr>
            </w:pPr>
            <w:r w:rsidRPr="00936A52">
              <w:rPr>
                <w:color w:val="333333"/>
                <w:sz w:val="22"/>
                <w:szCs w:val="22"/>
              </w:rPr>
              <w:t>35.1%</w:t>
            </w:r>
          </w:p>
        </w:tc>
      </w:tr>
    </w:tbl>
    <w:p w14:paraId="2F0F9B93" w14:textId="77777777" w:rsidR="004B5E4B" w:rsidRDefault="004B5E4B" w:rsidP="004B5E4B">
      <w:pPr>
        <w:ind w:firstLine="720"/>
        <w:rPr>
          <w:shd w:val="clear" w:color="auto" w:fill="FBE4D5" w:themeFill="accent2" w:themeFillTint="33"/>
        </w:rPr>
      </w:pPr>
    </w:p>
    <w:p w14:paraId="08C49496" w14:textId="46CCB509" w:rsidR="001263D3" w:rsidRPr="004B5E4B" w:rsidRDefault="005950FB" w:rsidP="004B5E4B">
      <w:pPr>
        <w:shd w:val="clear" w:color="auto" w:fill="FFFFFF" w:themeFill="background1"/>
        <w:spacing w:line="360" w:lineRule="auto"/>
        <w:rPr>
          <w:b/>
          <w:bCs/>
          <w:sz w:val="22"/>
          <w:szCs w:val="22"/>
        </w:rPr>
      </w:pPr>
      <w:r w:rsidRPr="004B5E4B">
        <w:rPr>
          <w:b/>
          <w:bCs/>
          <w:sz w:val="22"/>
          <w:szCs w:val="22"/>
        </w:rPr>
        <w:t>Table 4</w:t>
      </w:r>
    </w:p>
    <w:p w14:paraId="364A00EC" w14:textId="5AC6C5ED" w:rsidR="004B5E4B" w:rsidRPr="004B5E4B" w:rsidRDefault="004B5E4B" w:rsidP="00785157">
      <w:pPr>
        <w:shd w:val="clear" w:color="auto" w:fill="FFFFFF" w:themeFill="background1"/>
        <w:spacing w:line="276" w:lineRule="auto"/>
        <w:rPr>
          <w:sz w:val="22"/>
          <w:szCs w:val="22"/>
        </w:rPr>
      </w:pPr>
      <w:r w:rsidRPr="004B5E4B">
        <w:rPr>
          <w:rStyle w:val="Heading4Char"/>
          <w:b w:val="0"/>
          <w:bCs/>
          <w:i w:val="0"/>
          <w:iCs w:val="0"/>
          <w:sz w:val="22"/>
          <w:szCs w:val="22"/>
        </w:rPr>
        <w:t>Principal component analysis for the key behavioural measures. Loadings with absolute values of less than 5 are not shown.</w:t>
      </w:r>
    </w:p>
    <w:p w14:paraId="08FDF383" w14:textId="77777777" w:rsidR="00274233" w:rsidRDefault="00274233">
      <w:pPr>
        <w:spacing w:after="160" w:line="259" w:lineRule="auto"/>
        <w:ind w:firstLine="720"/>
        <w:rPr>
          <w:b/>
          <w:bCs/>
          <w:lang w:val="en-GB"/>
        </w:rPr>
      </w:pPr>
      <w:r>
        <w:rPr>
          <w:b/>
          <w:bCs/>
          <w:lang w:val="en-GB"/>
        </w:rPr>
        <w:br w:type="page"/>
      </w:r>
    </w:p>
    <w:p w14:paraId="68F469D4" w14:textId="41B58A93" w:rsidR="00E016A3" w:rsidRPr="0052710F" w:rsidRDefault="002C7746" w:rsidP="00501EE6">
      <w:pPr>
        <w:spacing w:before="120" w:line="360" w:lineRule="auto"/>
        <w:rPr>
          <w:b/>
          <w:bCs/>
          <w:lang w:val="en-GB"/>
        </w:rPr>
      </w:pPr>
      <w:r>
        <w:rPr>
          <w:b/>
          <w:bCs/>
          <w:lang w:val="en-GB"/>
        </w:rPr>
        <w:lastRenderedPageBreak/>
        <w:t xml:space="preserve">3.2. </w:t>
      </w:r>
      <w:r w:rsidR="00E016A3" w:rsidRPr="0052710F">
        <w:rPr>
          <w:b/>
          <w:bCs/>
          <w:lang w:val="en-GB"/>
        </w:rPr>
        <w:t>Lesion analysis results</w:t>
      </w:r>
    </w:p>
    <w:p w14:paraId="038CCAC1" w14:textId="3DCBEFB2" w:rsidR="00E016A3" w:rsidRDefault="00E016A3" w:rsidP="00785157">
      <w:pPr>
        <w:spacing w:before="120" w:after="120" w:line="480" w:lineRule="auto"/>
        <w:ind w:firstLine="720"/>
        <w:rPr>
          <w:lang w:val="en-US"/>
        </w:rPr>
      </w:pPr>
      <w:r>
        <w:rPr>
          <w:lang w:val="en-GB"/>
        </w:rPr>
        <w:t xml:space="preserve">Panel a of </w:t>
      </w:r>
      <w:r w:rsidRPr="00BC0003">
        <w:rPr>
          <w:lang w:val="en-GB"/>
        </w:rPr>
        <w:t xml:space="preserve">Figure </w:t>
      </w:r>
      <w:r>
        <w:rPr>
          <w:lang w:val="en-GB"/>
        </w:rPr>
        <w:t>2</w:t>
      </w:r>
      <w:r w:rsidRPr="00792C40">
        <w:rPr>
          <w:lang w:val="en-GB"/>
        </w:rPr>
        <w:t xml:space="preserve"> displays the lesion overlap map for </w:t>
      </w:r>
      <w:r>
        <w:rPr>
          <w:lang w:val="en-GB"/>
        </w:rPr>
        <w:t xml:space="preserve">all </w:t>
      </w:r>
      <w:r w:rsidR="008F7255">
        <w:rPr>
          <w:lang w:val="en-GB"/>
        </w:rPr>
        <w:t xml:space="preserve">eight </w:t>
      </w:r>
      <w:r>
        <w:rPr>
          <w:lang w:val="en-GB"/>
        </w:rPr>
        <w:t>participants</w:t>
      </w:r>
      <w:r w:rsidR="008F7255">
        <w:rPr>
          <w:lang w:val="en-GB"/>
        </w:rPr>
        <w:t xml:space="preserve"> who </w:t>
      </w:r>
      <w:r w:rsidR="00282F2C">
        <w:rPr>
          <w:lang w:val="en-GB"/>
        </w:rPr>
        <w:t>took part in the analysis</w:t>
      </w:r>
      <w:r w:rsidRPr="00792C40">
        <w:rPr>
          <w:lang w:val="en-GB"/>
        </w:rPr>
        <w:t>, projected onto our template for healthy older controls</w:t>
      </w:r>
      <w:r>
        <w:rPr>
          <w:lang w:val="en-GB"/>
        </w:rPr>
        <w:t xml:space="preserve">. No voxel </w:t>
      </w:r>
      <w:r w:rsidRPr="0028732E">
        <w:rPr>
          <w:lang w:val="en-GB"/>
        </w:rPr>
        <w:t xml:space="preserve">was lesioned in more than six out of eight </w:t>
      </w:r>
      <w:r w:rsidR="007A43CD">
        <w:rPr>
          <w:lang w:val="en-GB"/>
        </w:rPr>
        <w:t>people</w:t>
      </w:r>
      <w:r w:rsidRPr="0028732E">
        <w:rPr>
          <w:lang w:val="en-GB"/>
        </w:rPr>
        <w:t>.</w:t>
      </w:r>
      <w:r>
        <w:rPr>
          <w:lang w:val="en-GB"/>
        </w:rPr>
        <w:t xml:space="preserve"> Panel b displays the voxels that met our criterion for inclusion in the VLSM analysis – that is, those where at least two </w:t>
      </w:r>
      <w:r w:rsidRPr="0028732E">
        <w:rPr>
          <w:lang w:val="en-GB"/>
        </w:rPr>
        <w:t>participants</w:t>
      </w:r>
      <w:r>
        <w:rPr>
          <w:lang w:val="en-GB"/>
        </w:rPr>
        <w:t xml:space="preserve"> had damage. </w:t>
      </w:r>
      <w:r w:rsidRPr="00E114C8">
        <w:rPr>
          <w:lang w:val="en-GB"/>
        </w:rPr>
        <w:t>Table S</w:t>
      </w:r>
      <w:r w:rsidR="00B340D7">
        <w:rPr>
          <w:lang w:val="en-GB"/>
        </w:rPr>
        <w:t>2</w:t>
      </w:r>
      <w:r w:rsidRPr="00E114C8">
        <w:rPr>
          <w:lang w:val="en-GB"/>
        </w:rPr>
        <w:t xml:space="preserve"> in the supplementary </w:t>
      </w:r>
      <w:r>
        <w:rPr>
          <w:lang w:val="en-GB"/>
        </w:rPr>
        <w:t xml:space="preserve">materials </w:t>
      </w:r>
      <w:r w:rsidR="007A43CD">
        <w:rPr>
          <w:lang w:val="en-GB"/>
        </w:rPr>
        <w:t>describes</w:t>
      </w:r>
      <w:r>
        <w:rPr>
          <w:lang w:val="en-GB"/>
        </w:rPr>
        <w:t xml:space="preserve"> the localisation of these voxels according to our cortical and white matter atlases. </w:t>
      </w:r>
      <w:r w:rsidR="004B60B0" w:rsidRPr="00E114C8">
        <w:rPr>
          <w:lang w:val="en-AU"/>
        </w:rPr>
        <w:t>T</w:t>
      </w:r>
      <w:r w:rsidR="004B60B0">
        <w:rPr>
          <w:lang w:val="en-AU"/>
        </w:rPr>
        <w:t>o summarise, t</w:t>
      </w:r>
      <w:r w:rsidR="004B60B0" w:rsidRPr="00E114C8">
        <w:rPr>
          <w:lang w:val="en-AU"/>
        </w:rPr>
        <w:t xml:space="preserve">he </w:t>
      </w:r>
      <w:r w:rsidR="004B60B0">
        <w:rPr>
          <w:lang w:val="en-AU"/>
        </w:rPr>
        <w:t xml:space="preserve">map covered </w:t>
      </w:r>
      <w:r w:rsidR="004B60B0" w:rsidRPr="00E114C8">
        <w:rPr>
          <w:lang w:val="en-AU"/>
        </w:rPr>
        <w:t>substantial portions of left temporal, parietal</w:t>
      </w:r>
      <w:r w:rsidR="004B60B0">
        <w:rPr>
          <w:lang w:val="en-AU"/>
        </w:rPr>
        <w:t xml:space="preserve">, </w:t>
      </w:r>
      <w:r w:rsidR="004B60B0" w:rsidRPr="00E114C8">
        <w:rPr>
          <w:lang w:val="en-AU"/>
        </w:rPr>
        <w:t>frontal</w:t>
      </w:r>
      <w:r w:rsidR="004B60B0">
        <w:rPr>
          <w:lang w:val="en-AU"/>
        </w:rPr>
        <w:t xml:space="preserve"> and insular</w:t>
      </w:r>
      <w:r w:rsidR="004B60B0" w:rsidRPr="00E114C8">
        <w:rPr>
          <w:lang w:val="en-AU"/>
        </w:rPr>
        <w:t xml:space="preserve"> </w:t>
      </w:r>
      <w:r w:rsidR="004B60B0">
        <w:rPr>
          <w:lang w:val="en-AU"/>
        </w:rPr>
        <w:t>cortex and its underlying white matte</w:t>
      </w:r>
      <w:r w:rsidR="004B60B0" w:rsidRPr="00F149EB">
        <w:rPr>
          <w:lang w:val="en-AU"/>
        </w:rPr>
        <w:t xml:space="preserve">r </w:t>
      </w:r>
      <w:r w:rsidR="004B60B0" w:rsidRPr="00C84B13">
        <w:rPr>
          <w:lang w:val="en-AU"/>
        </w:rPr>
        <w:t xml:space="preserve">(including the majority of the </w:t>
      </w:r>
      <w:r w:rsidR="00B8681E" w:rsidRPr="00C84B13">
        <w:rPr>
          <w:lang w:val="en-AU"/>
        </w:rPr>
        <w:t>territories</w:t>
      </w:r>
      <w:r w:rsidR="004B60B0" w:rsidRPr="00C84B13">
        <w:rPr>
          <w:lang w:val="en-AU"/>
        </w:rPr>
        <w:t xml:space="preserve"> of the arcuate fasciculus, </w:t>
      </w:r>
      <w:r w:rsidR="00A85F93" w:rsidRPr="00C84B13">
        <w:rPr>
          <w:lang w:val="en-AU"/>
        </w:rPr>
        <w:t xml:space="preserve">the middle longitudinal </w:t>
      </w:r>
      <w:r w:rsidR="006F52F2" w:rsidRPr="00C84B13">
        <w:rPr>
          <w:lang w:val="en-AU"/>
        </w:rPr>
        <w:t>fasciculus</w:t>
      </w:r>
      <w:r w:rsidR="004B60B0" w:rsidRPr="00C84B13">
        <w:rPr>
          <w:lang w:val="en-AU"/>
        </w:rPr>
        <w:t xml:space="preserve"> </w:t>
      </w:r>
      <w:r w:rsidR="00A85F93" w:rsidRPr="00C84B13">
        <w:rPr>
          <w:lang w:val="en-AU"/>
        </w:rPr>
        <w:t xml:space="preserve">the superior longitudinal </w:t>
      </w:r>
      <w:r w:rsidR="0036209A" w:rsidRPr="00C84B13">
        <w:rPr>
          <w:lang w:val="en-AU"/>
        </w:rPr>
        <w:t>fasciculus</w:t>
      </w:r>
      <w:r w:rsidR="007A43CD">
        <w:rPr>
          <w:lang w:val="en-AU"/>
        </w:rPr>
        <w:t xml:space="preserve">, </w:t>
      </w:r>
      <w:r w:rsidR="00C84B13" w:rsidRPr="00C84B13">
        <w:rPr>
          <w:lang w:val="en-AU"/>
        </w:rPr>
        <w:t>as well as</w:t>
      </w:r>
      <w:r w:rsidR="000443DE" w:rsidRPr="00C84B13">
        <w:rPr>
          <w:lang w:val="en-AU"/>
        </w:rPr>
        <w:t xml:space="preserve"> </w:t>
      </w:r>
      <w:r w:rsidR="005348E1" w:rsidRPr="00C84B13">
        <w:rPr>
          <w:lang w:val="en-AU"/>
        </w:rPr>
        <w:t>substantial</w:t>
      </w:r>
      <w:r w:rsidR="004B60B0" w:rsidRPr="00C84B13">
        <w:rPr>
          <w:lang w:val="en-AU"/>
        </w:rPr>
        <w:t xml:space="preserve"> portions of the inferior fronto-occipital fasciculus</w:t>
      </w:r>
      <w:r w:rsidR="00E56D9B" w:rsidRPr="00C84B13">
        <w:rPr>
          <w:lang w:val="en-AU"/>
        </w:rPr>
        <w:t>,</w:t>
      </w:r>
      <w:r w:rsidR="004B60B0" w:rsidRPr="00C84B13">
        <w:rPr>
          <w:lang w:val="en-AU"/>
        </w:rPr>
        <w:t xml:space="preserve"> </w:t>
      </w:r>
      <w:r w:rsidR="000443DE" w:rsidRPr="00C84B13">
        <w:rPr>
          <w:lang w:val="en-AU"/>
        </w:rPr>
        <w:t xml:space="preserve">the inferior longitudinal </w:t>
      </w:r>
      <w:r w:rsidR="00506608" w:rsidRPr="00C84B13">
        <w:rPr>
          <w:lang w:val="en-AU"/>
        </w:rPr>
        <w:t>fasciculus</w:t>
      </w:r>
      <w:r w:rsidR="00E56D9B" w:rsidRPr="00C84B13">
        <w:rPr>
          <w:lang w:val="en-AU"/>
        </w:rPr>
        <w:t>,</w:t>
      </w:r>
      <w:r w:rsidR="004B60B0" w:rsidRPr="00C84B13">
        <w:rPr>
          <w:lang w:val="en-AU"/>
        </w:rPr>
        <w:t xml:space="preserve"> </w:t>
      </w:r>
      <w:r w:rsidR="00FB0205" w:rsidRPr="00C84B13">
        <w:rPr>
          <w:lang w:val="en-AU"/>
        </w:rPr>
        <w:t xml:space="preserve">and </w:t>
      </w:r>
      <w:r w:rsidR="004B60B0" w:rsidRPr="00C84B13">
        <w:rPr>
          <w:lang w:val="en-AU"/>
        </w:rPr>
        <w:t>the frontal aslant tract)</w:t>
      </w:r>
      <w:r w:rsidR="004B60B0" w:rsidRPr="00F149EB">
        <w:rPr>
          <w:lang w:val="en-AU"/>
        </w:rPr>
        <w:t xml:space="preserve">. </w:t>
      </w:r>
      <w:r>
        <w:rPr>
          <w:lang w:val="en-AU"/>
        </w:rPr>
        <w:t>However</w:t>
      </w:r>
      <w:r w:rsidRPr="00E114C8">
        <w:rPr>
          <w:lang w:val="en-AU"/>
        </w:rPr>
        <w:t xml:space="preserve">, </w:t>
      </w:r>
      <w:r w:rsidR="008C20DE">
        <w:rPr>
          <w:lang w:val="en-AU"/>
        </w:rPr>
        <w:t>it</w:t>
      </w:r>
      <w:r w:rsidRPr="00E114C8">
        <w:rPr>
          <w:lang w:val="en-AU"/>
        </w:rPr>
        <w:t xml:space="preserve"> </w:t>
      </w:r>
      <w:r>
        <w:rPr>
          <w:lang w:val="en-AU"/>
        </w:rPr>
        <w:t>excluded a sizeable region in the ventral temporal lobe, the rostral prefrontal cortex, and medial portions of both the frontal and parietal lobes</w:t>
      </w:r>
      <w:r w:rsidR="008C20DE">
        <w:rPr>
          <w:lang w:val="en-AU"/>
        </w:rPr>
        <w:t>, and most</w:t>
      </w:r>
      <w:r>
        <w:rPr>
          <w:lang w:val="en-US"/>
        </w:rPr>
        <w:t xml:space="preserve"> of the left occipital lobe.  </w:t>
      </w:r>
    </w:p>
    <w:p w14:paraId="41DDF988" w14:textId="77777777" w:rsidR="00E016A3" w:rsidRDefault="00E016A3" w:rsidP="00E016A3">
      <w:pPr>
        <w:rPr>
          <w:lang w:val="en-AU"/>
        </w:rPr>
      </w:pPr>
      <w:r>
        <w:rPr>
          <w:noProof/>
          <w:lang w:val="en-AU"/>
        </w:rPr>
        <w:drawing>
          <wp:inline distT="0" distB="0" distL="0" distR="0" wp14:anchorId="7B4DDB1E" wp14:editId="4E626554">
            <wp:extent cx="6014066" cy="1916935"/>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 overlap and included voxe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2252" cy="1932294"/>
                    </a:xfrm>
                    <a:prstGeom prst="rect">
                      <a:avLst/>
                    </a:prstGeom>
                  </pic:spPr>
                </pic:pic>
              </a:graphicData>
            </a:graphic>
          </wp:inline>
        </w:drawing>
      </w:r>
    </w:p>
    <w:p w14:paraId="7BBAB76F" w14:textId="77777777" w:rsidR="00E016A3" w:rsidRDefault="00E016A3" w:rsidP="00E016A3">
      <w:pPr>
        <w:rPr>
          <w:b/>
          <w:lang w:val="en-AU"/>
        </w:rPr>
      </w:pPr>
    </w:p>
    <w:p w14:paraId="451C2625" w14:textId="77777777" w:rsidR="00E016A3" w:rsidRPr="0043731F" w:rsidRDefault="00E016A3" w:rsidP="00501EE6">
      <w:pPr>
        <w:spacing w:line="360" w:lineRule="auto"/>
        <w:rPr>
          <w:b/>
          <w:sz w:val="22"/>
          <w:szCs w:val="22"/>
          <w:lang w:val="en-AU"/>
        </w:rPr>
      </w:pPr>
      <w:r w:rsidRPr="0043731F">
        <w:rPr>
          <w:b/>
          <w:sz w:val="22"/>
          <w:szCs w:val="22"/>
          <w:lang w:val="en-AU"/>
        </w:rPr>
        <w:t>Figure 2</w:t>
      </w:r>
    </w:p>
    <w:p w14:paraId="0985635E" w14:textId="7D9BF58A" w:rsidR="0043731F" w:rsidRDefault="00E016A3" w:rsidP="00785157">
      <w:pPr>
        <w:spacing w:line="276" w:lineRule="auto"/>
        <w:rPr>
          <w:bCs/>
          <w:lang w:val="en-AU"/>
        </w:rPr>
      </w:pPr>
      <w:r w:rsidRPr="0043731F">
        <w:rPr>
          <w:bCs/>
          <w:sz w:val="22"/>
          <w:szCs w:val="22"/>
          <w:lang w:val="en-AU"/>
        </w:rPr>
        <w:t>Panel a shows the complete lesion overlap map</w:t>
      </w:r>
      <w:r w:rsidR="007A43CD">
        <w:rPr>
          <w:bCs/>
          <w:sz w:val="22"/>
          <w:szCs w:val="22"/>
          <w:lang w:val="en-AU"/>
        </w:rPr>
        <w:t xml:space="preserve"> for all participants</w:t>
      </w:r>
      <w:r w:rsidRPr="0043731F">
        <w:rPr>
          <w:bCs/>
          <w:sz w:val="22"/>
          <w:szCs w:val="22"/>
          <w:lang w:val="en-AU"/>
        </w:rPr>
        <w:t>, colour-coded according to the number of cases with damage at each voxel, and projected onto our template for healthy older controls (Rorden et al., 2012). One participant had an accompanying right posterior lesion, which is not visible on this map (patient STR: see Figure S1 in the supplementary materials). Panel b shows the voxels that met our criterion for inclusion in VLSM analysis (that is, a minimum of 2 participants had lesions involving that voxel).</w:t>
      </w:r>
      <w:r>
        <w:rPr>
          <w:bCs/>
          <w:lang w:val="en-AU"/>
        </w:rPr>
        <w:t xml:space="preserve"> </w:t>
      </w:r>
    </w:p>
    <w:p w14:paraId="5A1B7333" w14:textId="6A1F588C" w:rsidR="0043731F" w:rsidRDefault="0043731F" w:rsidP="00274233">
      <w:pPr>
        <w:spacing w:line="480" w:lineRule="auto"/>
        <w:rPr>
          <w:bCs/>
          <w:lang w:val="en-GB"/>
        </w:rPr>
      </w:pPr>
    </w:p>
    <w:p w14:paraId="1D00154A" w14:textId="3712E97B" w:rsidR="00274233" w:rsidRDefault="00274233" w:rsidP="00274233">
      <w:pPr>
        <w:spacing w:line="480" w:lineRule="auto"/>
        <w:ind w:firstLine="720"/>
        <w:rPr>
          <w:lang w:val="en-GB"/>
        </w:rPr>
      </w:pPr>
      <w:r>
        <w:rPr>
          <w:lang w:val="en-GB"/>
        </w:rPr>
        <w:t>Turning now to the VLSM results, n</w:t>
      </w:r>
      <w:r w:rsidRPr="0043731F">
        <w:rPr>
          <w:lang w:val="en-GB"/>
        </w:rPr>
        <w:t>one of the analyses revealed significant voxels using the standard</w:t>
      </w:r>
      <w:r w:rsidRPr="0043731F">
        <w:t xml:space="preserve"> method of correction for </w:t>
      </w:r>
      <w:r w:rsidRPr="0043731F">
        <w:rPr>
          <w:lang w:val="en-GB"/>
        </w:rPr>
        <w:t>familywise error rate (</w:t>
      </w:r>
      <w:r w:rsidRPr="0043731F">
        <w:rPr>
          <w:i/>
          <w:iCs/>
          <w:lang w:val="en-GB"/>
        </w:rPr>
        <w:t>v</w:t>
      </w:r>
      <w:r w:rsidRPr="0043731F">
        <w:rPr>
          <w:lang w:val="en-GB"/>
        </w:rPr>
        <w:t>=1). Below we summarise the results</w:t>
      </w:r>
      <w:r>
        <w:rPr>
          <w:lang w:val="en-GB"/>
        </w:rPr>
        <w:t xml:space="preserve"> based</w:t>
      </w:r>
      <w:r w:rsidRPr="0043731F">
        <w:rPr>
          <w:lang w:val="en-GB"/>
        </w:rPr>
        <w:t xml:space="preserve"> on a less stringent correction method: CFWER </w:t>
      </w:r>
      <w:r>
        <w:rPr>
          <w:lang w:val="en-GB"/>
        </w:rPr>
        <w:t>with the value of v set to 5.</w:t>
      </w:r>
    </w:p>
    <w:p w14:paraId="4EDB3CC5" w14:textId="3BC48047" w:rsidR="00724287" w:rsidRDefault="002C7746" w:rsidP="008C20DE">
      <w:pPr>
        <w:spacing w:line="480" w:lineRule="auto"/>
        <w:ind w:firstLine="720"/>
        <w:rPr>
          <w:bCs/>
          <w:lang w:val="en-GB"/>
        </w:rPr>
      </w:pPr>
      <w:r>
        <w:rPr>
          <w:b/>
          <w:lang w:val="en-GB"/>
        </w:rPr>
        <w:lastRenderedPageBreak/>
        <w:t xml:space="preserve">3.2.1. </w:t>
      </w:r>
      <w:r w:rsidR="00404B6E">
        <w:rPr>
          <w:b/>
          <w:lang w:val="en-GB"/>
        </w:rPr>
        <w:t xml:space="preserve">Fluency and grammaticality measures. </w:t>
      </w:r>
      <w:r w:rsidR="00404B6E">
        <w:rPr>
          <w:bCs/>
          <w:lang w:val="en-GB"/>
        </w:rPr>
        <w:t>Panels a</w:t>
      </w:r>
      <w:r w:rsidR="004B0F73">
        <w:rPr>
          <w:bCs/>
          <w:lang w:val="en-GB"/>
        </w:rPr>
        <w:t>, b</w:t>
      </w:r>
      <w:r w:rsidR="00404B6E">
        <w:rPr>
          <w:bCs/>
          <w:lang w:val="en-GB"/>
        </w:rPr>
        <w:t xml:space="preserve"> </w:t>
      </w:r>
      <w:r w:rsidR="004B0F73">
        <w:rPr>
          <w:bCs/>
          <w:lang w:val="en-GB"/>
        </w:rPr>
        <w:t>and c</w:t>
      </w:r>
      <w:r w:rsidR="007E0394">
        <w:rPr>
          <w:bCs/>
          <w:lang w:val="en-GB"/>
        </w:rPr>
        <w:t xml:space="preserve"> </w:t>
      </w:r>
      <w:r w:rsidR="00404B6E">
        <w:rPr>
          <w:bCs/>
          <w:lang w:val="en-GB"/>
        </w:rPr>
        <w:t xml:space="preserve">of Figure 3 displays the voxels where pathology was significantly associated with </w:t>
      </w:r>
      <w:r w:rsidR="007E0394">
        <w:rPr>
          <w:bCs/>
          <w:lang w:val="en-GB"/>
        </w:rPr>
        <w:t>impaired</w:t>
      </w:r>
      <w:r w:rsidR="00404B6E">
        <w:rPr>
          <w:bCs/>
          <w:lang w:val="en-GB"/>
        </w:rPr>
        <w:t xml:space="preserve"> scores on </w:t>
      </w:r>
      <w:r w:rsidR="007E0394">
        <w:rPr>
          <w:bCs/>
          <w:lang w:val="en-GB"/>
        </w:rPr>
        <w:t xml:space="preserve">the </w:t>
      </w:r>
      <w:r w:rsidR="004A0275">
        <w:rPr>
          <w:bCs/>
          <w:lang w:val="en-GB"/>
        </w:rPr>
        <w:t>three</w:t>
      </w:r>
      <w:r w:rsidR="007E0394">
        <w:rPr>
          <w:bCs/>
          <w:lang w:val="en-GB"/>
        </w:rPr>
        <w:t xml:space="preserve"> measures </w:t>
      </w:r>
      <w:r w:rsidR="00E43965">
        <w:rPr>
          <w:bCs/>
          <w:lang w:val="en-GB"/>
        </w:rPr>
        <w:t>that</w:t>
      </w:r>
      <w:r w:rsidR="007E0394">
        <w:rPr>
          <w:bCs/>
          <w:lang w:val="en-GB"/>
        </w:rPr>
        <w:t xml:space="preserve"> loaded primarily on </w:t>
      </w:r>
      <w:r w:rsidR="00724287">
        <w:rPr>
          <w:bCs/>
          <w:lang w:val="en-GB"/>
        </w:rPr>
        <w:t>our</w:t>
      </w:r>
      <w:r w:rsidR="007E0394" w:rsidRPr="00724287">
        <w:rPr>
          <w:bCs/>
          <w:i/>
          <w:iCs/>
          <w:lang w:val="en-GB"/>
        </w:rPr>
        <w:t xml:space="preserve"> fluency and grammaticality</w:t>
      </w:r>
      <w:r w:rsidR="007E0394">
        <w:rPr>
          <w:bCs/>
          <w:lang w:val="en-GB"/>
        </w:rPr>
        <w:t xml:space="preserve"> factor: the</w:t>
      </w:r>
      <w:r w:rsidR="00404B6E">
        <w:rPr>
          <w:bCs/>
          <w:lang w:val="en-GB"/>
        </w:rPr>
        <w:t xml:space="preserve"> </w:t>
      </w:r>
      <w:r w:rsidR="007E0394">
        <w:rPr>
          <w:bCs/>
          <w:lang w:val="en-GB"/>
        </w:rPr>
        <w:t xml:space="preserve">QPA </w:t>
      </w:r>
      <w:r w:rsidR="00404B6E">
        <w:rPr>
          <w:bCs/>
          <w:lang w:val="en-GB"/>
        </w:rPr>
        <w:t>proportion of closed class words</w:t>
      </w:r>
      <w:r w:rsidR="007E0394">
        <w:rPr>
          <w:bCs/>
          <w:lang w:val="en-GB"/>
        </w:rPr>
        <w:t xml:space="preserve">, </w:t>
      </w:r>
      <w:r w:rsidR="004A0275">
        <w:rPr>
          <w:bCs/>
          <w:lang w:val="en-GB"/>
        </w:rPr>
        <w:t>the</w:t>
      </w:r>
      <w:r w:rsidR="007E0394">
        <w:rPr>
          <w:bCs/>
          <w:lang w:val="en-GB"/>
        </w:rPr>
        <w:t xml:space="preserve"> QPA speech rate</w:t>
      </w:r>
      <w:r w:rsidR="004A0275">
        <w:rPr>
          <w:bCs/>
          <w:lang w:val="en-GB"/>
        </w:rPr>
        <w:t>, and the BDAE articulatory agility measure</w:t>
      </w:r>
      <w:r w:rsidR="00404B6E">
        <w:rPr>
          <w:bCs/>
          <w:lang w:val="en-GB"/>
        </w:rPr>
        <w:t xml:space="preserve">. </w:t>
      </w:r>
      <w:r w:rsidR="007E0394">
        <w:rPr>
          <w:bCs/>
          <w:lang w:val="en-GB"/>
        </w:rPr>
        <w:t xml:space="preserve">Table 4 summarises the localisation of these voxels with respect to our reference atlases. </w:t>
      </w:r>
      <w:r w:rsidR="006134DA">
        <w:rPr>
          <w:bCs/>
          <w:lang w:val="en-GB"/>
        </w:rPr>
        <w:t>The maps for the closed class measure and the articulatory agility measure were identical, and were centred on the</w:t>
      </w:r>
      <w:r w:rsidR="006134DA" w:rsidRPr="009B26A2">
        <w:rPr>
          <w:bCs/>
          <w:lang w:val="en-GB"/>
        </w:rPr>
        <w:t xml:space="preserve"> insular cortex</w:t>
      </w:r>
      <w:r w:rsidR="006134DA">
        <w:rPr>
          <w:bCs/>
          <w:lang w:val="en-GB"/>
        </w:rPr>
        <w:t xml:space="preserve"> and the central opercular cortex, with only minimal extension into the LIFG. </w:t>
      </w:r>
      <w:r w:rsidR="0092100C">
        <w:rPr>
          <w:bCs/>
          <w:lang w:val="en-GB"/>
        </w:rPr>
        <w:t>The map</w:t>
      </w:r>
      <w:r w:rsidR="007E0394">
        <w:rPr>
          <w:bCs/>
          <w:lang w:val="en-GB"/>
        </w:rPr>
        <w:t xml:space="preserve"> for speech rate</w:t>
      </w:r>
      <w:r w:rsidR="0092100C">
        <w:rPr>
          <w:bCs/>
          <w:lang w:val="en-GB"/>
        </w:rPr>
        <w:t xml:space="preserve"> was smaller</w:t>
      </w:r>
      <w:r w:rsidR="007E0394">
        <w:rPr>
          <w:bCs/>
          <w:lang w:val="en-GB"/>
        </w:rPr>
        <w:t xml:space="preserve">, but </w:t>
      </w:r>
      <w:r w:rsidR="0092100C">
        <w:rPr>
          <w:bCs/>
          <w:lang w:val="en-GB"/>
        </w:rPr>
        <w:t>was</w:t>
      </w:r>
      <w:r w:rsidR="007E0394">
        <w:rPr>
          <w:bCs/>
          <w:lang w:val="en-GB"/>
        </w:rPr>
        <w:t xml:space="preserve"> </w:t>
      </w:r>
      <w:r w:rsidR="0092100C">
        <w:rPr>
          <w:bCs/>
          <w:lang w:val="en-GB"/>
        </w:rPr>
        <w:t>also</w:t>
      </w:r>
      <w:r w:rsidR="007E0394">
        <w:rPr>
          <w:bCs/>
          <w:lang w:val="en-GB"/>
        </w:rPr>
        <w:t xml:space="preserve"> primarily </w:t>
      </w:r>
      <w:r w:rsidR="00E43965">
        <w:rPr>
          <w:bCs/>
          <w:lang w:val="en-GB"/>
        </w:rPr>
        <w:t>centred</w:t>
      </w:r>
      <w:r w:rsidR="00404B6E">
        <w:rPr>
          <w:bCs/>
          <w:lang w:val="en-GB"/>
        </w:rPr>
        <w:t xml:space="preserve"> </w:t>
      </w:r>
      <w:r w:rsidR="007E0394">
        <w:rPr>
          <w:bCs/>
          <w:lang w:val="en-GB"/>
        </w:rPr>
        <w:t>on</w:t>
      </w:r>
      <w:r w:rsidR="00404B6E">
        <w:rPr>
          <w:bCs/>
          <w:lang w:val="en-GB"/>
        </w:rPr>
        <w:t xml:space="preserve"> the</w:t>
      </w:r>
      <w:r w:rsidR="00404B6E" w:rsidRPr="009B26A2">
        <w:rPr>
          <w:bCs/>
          <w:lang w:val="en-GB"/>
        </w:rPr>
        <w:t xml:space="preserve"> insular cortex</w:t>
      </w:r>
      <w:r w:rsidR="00404B6E">
        <w:rPr>
          <w:bCs/>
          <w:lang w:val="en-GB"/>
        </w:rPr>
        <w:t xml:space="preserve"> and the central opercular cortex</w:t>
      </w:r>
      <w:r w:rsidR="007E0394">
        <w:rPr>
          <w:bCs/>
          <w:lang w:val="en-GB"/>
        </w:rPr>
        <w:t xml:space="preserve">, </w:t>
      </w:r>
      <w:r w:rsidR="0092100C">
        <w:rPr>
          <w:bCs/>
          <w:lang w:val="en-GB"/>
        </w:rPr>
        <w:t>again</w:t>
      </w:r>
      <w:r w:rsidR="007E0394">
        <w:rPr>
          <w:bCs/>
          <w:lang w:val="en-GB"/>
        </w:rPr>
        <w:t xml:space="preserve"> </w:t>
      </w:r>
      <w:r w:rsidR="0092100C">
        <w:rPr>
          <w:bCs/>
          <w:lang w:val="en-GB"/>
        </w:rPr>
        <w:t>with</w:t>
      </w:r>
      <w:r w:rsidR="007E0394">
        <w:rPr>
          <w:bCs/>
          <w:lang w:val="en-GB"/>
        </w:rPr>
        <w:t xml:space="preserve"> minimal</w:t>
      </w:r>
      <w:r w:rsidR="00404B6E">
        <w:rPr>
          <w:bCs/>
          <w:lang w:val="en-GB"/>
        </w:rPr>
        <w:t xml:space="preserve"> extension into the </w:t>
      </w:r>
      <w:r w:rsidR="007E0394">
        <w:rPr>
          <w:bCs/>
          <w:lang w:val="en-GB"/>
        </w:rPr>
        <w:t>L</w:t>
      </w:r>
      <w:r w:rsidR="00404B6E">
        <w:rPr>
          <w:bCs/>
          <w:lang w:val="en-GB"/>
        </w:rPr>
        <w:t xml:space="preserve">IFG. </w:t>
      </w:r>
      <w:r w:rsidR="00724287" w:rsidRPr="00757655">
        <w:rPr>
          <w:bCs/>
          <w:lang w:val="en-GB"/>
        </w:rPr>
        <w:t>With respect to the HCP1065 white matter atlas</w:t>
      </w:r>
      <w:r w:rsidR="00404B6E" w:rsidRPr="000E252B">
        <w:rPr>
          <w:bCs/>
          <w:lang w:val="en-GB"/>
        </w:rPr>
        <w:t xml:space="preserve">, </w:t>
      </w:r>
      <w:r w:rsidR="0092100C">
        <w:rPr>
          <w:bCs/>
          <w:lang w:val="en-GB"/>
        </w:rPr>
        <w:t>both maps showed</w:t>
      </w:r>
      <w:r w:rsidR="00404B6E" w:rsidRPr="000E252B">
        <w:rPr>
          <w:bCs/>
          <w:lang w:val="en-GB"/>
        </w:rPr>
        <w:t xml:space="preserve"> </w:t>
      </w:r>
      <w:r w:rsidR="0092100C">
        <w:rPr>
          <w:bCs/>
          <w:lang w:val="en-GB"/>
        </w:rPr>
        <w:t>substantial overlap with</w:t>
      </w:r>
      <w:r w:rsidR="00404B6E" w:rsidRPr="000E252B">
        <w:rPr>
          <w:bCs/>
          <w:lang w:val="en-GB"/>
        </w:rPr>
        <w:t xml:space="preserve"> th</w:t>
      </w:r>
      <w:r w:rsidR="00404B6E">
        <w:rPr>
          <w:bCs/>
          <w:lang w:val="en-GB"/>
        </w:rPr>
        <w:t>e territory</w:t>
      </w:r>
      <w:r w:rsidR="00404B6E" w:rsidRPr="000E252B">
        <w:rPr>
          <w:bCs/>
          <w:lang w:val="en-GB"/>
        </w:rPr>
        <w:t xml:space="preserve"> of the </w:t>
      </w:r>
      <w:r w:rsidR="00404B6E">
        <w:rPr>
          <w:bCs/>
          <w:lang w:val="en-GB"/>
        </w:rPr>
        <w:t>superior longitudinal fasciculus (bundle 3), and the frontal aslant tract</w:t>
      </w:r>
      <w:r w:rsidR="007E0394">
        <w:rPr>
          <w:bCs/>
          <w:lang w:val="en-GB"/>
        </w:rPr>
        <w:t xml:space="preserve">, </w:t>
      </w:r>
      <w:r w:rsidR="00724287">
        <w:rPr>
          <w:bCs/>
          <w:lang w:val="en-GB"/>
        </w:rPr>
        <w:t>but</w:t>
      </w:r>
      <w:r w:rsidR="007E0394">
        <w:rPr>
          <w:bCs/>
          <w:lang w:val="en-GB"/>
        </w:rPr>
        <w:t xml:space="preserve"> the speech rate map</w:t>
      </w:r>
      <w:r w:rsidR="00724287">
        <w:rPr>
          <w:bCs/>
          <w:lang w:val="en-GB"/>
        </w:rPr>
        <w:t xml:space="preserve"> showed greater frontal aslant tract involvement, and </w:t>
      </w:r>
      <w:r w:rsidR="004B0F73">
        <w:rPr>
          <w:bCs/>
          <w:lang w:val="en-GB"/>
        </w:rPr>
        <w:t xml:space="preserve">also </w:t>
      </w:r>
      <w:r w:rsidR="00724287">
        <w:rPr>
          <w:bCs/>
          <w:lang w:val="en-GB"/>
        </w:rPr>
        <w:t xml:space="preserve">some </w:t>
      </w:r>
      <w:r w:rsidR="00E43965">
        <w:rPr>
          <w:bCs/>
          <w:lang w:val="en-GB"/>
        </w:rPr>
        <w:t>encroachment</w:t>
      </w:r>
      <w:r w:rsidR="00724287">
        <w:rPr>
          <w:bCs/>
          <w:lang w:val="en-GB"/>
        </w:rPr>
        <w:t xml:space="preserve"> into the arcuate </w:t>
      </w:r>
      <w:r w:rsidR="00E43965">
        <w:rPr>
          <w:bCs/>
          <w:lang w:val="en-GB"/>
        </w:rPr>
        <w:t>fasciculus</w:t>
      </w:r>
      <w:r w:rsidR="007E0394">
        <w:rPr>
          <w:bCs/>
          <w:lang w:val="en-GB"/>
        </w:rPr>
        <w:t>.</w:t>
      </w:r>
    </w:p>
    <w:p w14:paraId="48117B04" w14:textId="3678D5B8" w:rsidR="00274233" w:rsidRDefault="002C7746" w:rsidP="00274233">
      <w:pPr>
        <w:spacing w:line="480" w:lineRule="auto"/>
        <w:ind w:firstLine="720"/>
        <w:rPr>
          <w:bCs/>
          <w:lang w:val="en-GB"/>
        </w:rPr>
      </w:pPr>
      <w:r>
        <w:rPr>
          <w:b/>
          <w:lang w:val="en-GB"/>
        </w:rPr>
        <w:t xml:space="preserve">3.2.2. </w:t>
      </w:r>
      <w:r w:rsidR="00274233">
        <w:rPr>
          <w:b/>
          <w:lang w:val="en-GB"/>
        </w:rPr>
        <w:t xml:space="preserve">Context sensitivity measures. </w:t>
      </w:r>
      <w:r w:rsidR="00274233">
        <w:rPr>
          <w:bCs/>
          <w:lang w:val="en-GB"/>
        </w:rPr>
        <w:t xml:space="preserve">Panels d and e of Figure 3 displays the voxels where pathology was associated with high scores on the two measures that loaded primarily on our </w:t>
      </w:r>
      <w:r w:rsidR="00274233" w:rsidRPr="00724287">
        <w:rPr>
          <w:bCs/>
          <w:i/>
          <w:iCs/>
          <w:lang w:val="en-GB"/>
        </w:rPr>
        <w:t>context sensitivity</w:t>
      </w:r>
      <w:r w:rsidR="00274233">
        <w:rPr>
          <w:bCs/>
          <w:lang w:val="en-GB"/>
        </w:rPr>
        <w:t xml:space="preserve"> factor: the sentence context effect measure and the BCNT relatedness by cycle interaction. Table 4 summarises the localisation of these voxels. The map for both measures encompassed significant portions of the pars opercularis of the i</w:t>
      </w:r>
      <w:r w:rsidR="00274233" w:rsidRPr="004E56D9">
        <w:rPr>
          <w:bCs/>
          <w:lang w:val="en-GB"/>
        </w:rPr>
        <w:t xml:space="preserve">nferior </w:t>
      </w:r>
      <w:r w:rsidR="00274233">
        <w:rPr>
          <w:bCs/>
          <w:lang w:val="en-GB"/>
        </w:rPr>
        <w:t>f</w:t>
      </w:r>
      <w:r w:rsidR="00274233" w:rsidRPr="004E56D9">
        <w:rPr>
          <w:bCs/>
          <w:lang w:val="en-GB"/>
        </w:rPr>
        <w:t xml:space="preserve">rontal </w:t>
      </w:r>
      <w:r w:rsidR="00274233">
        <w:rPr>
          <w:bCs/>
          <w:lang w:val="en-GB"/>
        </w:rPr>
        <w:t>g</w:t>
      </w:r>
      <w:r w:rsidR="00274233" w:rsidRPr="004E56D9">
        <w:rPr>
          <w:bCs/>
          <w:lang w:val="en-GB"/>
        </w:rPr>
        <w:t>yrus</w:t>
      </w:r>
      <w:r w:rsidR="00274233">
        <w:rPr>
          <w:bCs/>
          <w:lang w:val="en-GB"/>
        </w:rPr>
        <w:t xml:space="preserve">, the middle frontal gyrus, the precentral gyrus and the postcentral gyrus. The map for the BCNT relatedness by cycle interaction was larger had greater extension into the postcentral gyrus than the sentence context effect map, but the two maps were otherwise very similar. </w:t>
      </w:r>
      <w:r w:rsidR="00274233" w:rsidRPr="00757655">
        <w:rPr>
          <w:bCs/>
          <w:lang w:val="en-GB"/>
        </w:rPr>
        <w:t xml:space="preserve">With respect to white matter </w:t>
      </w:r>
      <w:r w:rsidR="00274233">
        <w:rPr>
          <w:bCs/>
          <w:lang w:val="en-GB"/>
        </w:rPr>
        <w:t>territories</w:t>
      </w:r>
      <w:r w:rsidR="00274233" w:rsidRPr="00757655">
        <w:rPr>
          <w:bCs/>
          <w:lang w:val="en-GB"/>
        </w:rPr>
        <w:t xml:space="preserve">, </w:t>
      </w:r>
      <w:r w:rsidR="00274233">
        <w:rPr>
          <w:bCs/>
          <w:lang w:val="en-GB"/>
        </w:rPr>
        <w:t>both maps overlapped</w:t>
      </w:r>
      <w:r w:rsidR="00274233" w:rsidRPr="00757655">
        <w:rPr>
          <w:bCs/>
          <w:lang w:val="en-GB"/>
        </w:rPr>
        <w:t xml:space="preserve"> substantial</w:t>
      </w:r>
      <w:r w:rsidR="00274233">
        <w:rPr>
          <w:bCs/>
          <w:lang w:val="en-GB"/>
        </w:rPr>
        <w:t>ly</w:t>
      </w:r>
      <w:r w:rsidR="00274233" w:rsidRPr="00757655">
        <w:rPr>
          <w:bCs/>
          <w:lang w:val="en-GB"/>
        </w:rPr>
        <w:t xml:space="preserve"> </w:t>
      </w:r>
      <w:r w:rsidR="00274233">
        <w:rPr>
          <w:bCs/>
          <w:lang w:val="en-GB"/>
        </w:rPr>
        <w:t>with</w:t>
      </w:r>
      <w:r w:rsidR="00274233" w:rsidRPr="00757655">
        <w:rPr>
          <w:bCs/>
          <w:lang w:val="en-GB"/>
        </w:rPr>
        <w:t xml:space="preserve"> of the territories of the </w:t>
      </w:r>
      <w:r w:rsidR="00274233">
        <w:rPr>
          <w:bCs/>
          <w:lang w:val="en-GB"/>
        </w:rPr>
        <w:t xml:space="preserve">bundles 2 and 3 of the </w:t>
      </w:r>
      <w:r w:rsidR="00274233" w:rsidRPr="00757655">
        <w:rPr>
          <w:bCs/>
          <w:lang w:val="en-GB"/>
        </w:rPr>
        <w:t xml:space="preserve">superior longitudinal fasciculus, and </w:t>
      </w:r>
      <w:r w:rsidR="00274233">
        <w:rPr>
          <w:bCs/>
          <w:lang w:val="en-GB"/>
        </w:rPr>
        <w:t xml:space="preserve">to a lesser extent with </w:t>
      </w:r>
      <w:r w:rsidR="00274233" w:rsidRPr="00757655">
        <w:rPr>
          <w:bCs/>
          <w:lang w:val="en-GB"/>
        </w:rPr>
        <w:t>the frontal aslant tract.</w:t>
      </w:r>
    </w:p>
    <w:p w14:paraId="1D1A637F" w14:textId="2672CFE2" w:rsidR="00785157" w:rsidRPr="008C20DE" w:rsidRDefault="002C7746" w:rsidP="00785157">
      <w:pPr>
        <w:spacing w:line="480" w:lineRule="auto"/>
        <w:ind w:firstLine="720"/>
        <w:rPr>
          <w:bCs/>
          <w:lang w:val="en-GB"/>
        </w:rPr>
      </w:pPr>
      <w:r>
        <w:rPr>
          <w:b/>
          <w:lang w:val="en-GB"/>
        </w:rPr>
        <w:t xml:space="preserve">3.2.3. </w:t>
      </w:r>
      <w:r w:rsidR="00785157">
        <w:rPr>
          <w:b/>
          <w:lang w:val="en-GB"/>
        </w:rPr>
        <w:t xml:space="preserve">Mixed measures. </w:t>
      </w:r>
      <w:r w:rsidR="00785157">
        <w:rPr>
          <w:bCs/>
          <w:lang w:val="en-GB"/>
        </w:rPr>
        <w:t xml:space="preserve">Panels f and g of Figure 3 display the voxels where pathology was significantly associated with disproportionately poor scores on our two remaining measures: the subject noun frequency effect and the noun semantic relatedness effect. As summarised in Table 4, the voxel maps for these measures overlapped almost completely, and incorporated substantial </w:t>
      </w:r>
    </w:p>
    <w:p w14:paraId="09D17215" w14:textId="6B4B4589" w:rsidR="00E016A3" w:rsidRDefault="004D6E9F" w:rsidP="00404B6E">
      <w:pPr>
        <w:jc w:val="center"/>
        <w:rPr>
          <w:bCs/>
          <w:lang w:val="en-GB"/>
        </w:rPr>
      </w:pPr>
      <w:r>
        <w:rPr>
          <w:bCs/>
          <w:noProof/>
          <w:lang w:val="en-GB"/>
        </w:rPr>
        <w:lastRenderedPageBreak/>
        <w:drawing>
          <wp:inline distT="0" distB="0" distL="0" distR="0" wp14:anchorId="41B77B60" wp14:editId="5A831E8E">
            <wp:extent cx="4874078" cy="824608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3070" cy="8261302"/>
                    </a:xfrm>
                    <a:prstGeom prst="rect">
                      <a:avLst/>
                    </a:prstGeom>
                  </pic:spPr>
                </pic:pic>
              </a:graphicData>
            </a:graphic>
          </wp:inline>
        </w:drawing>
      </w:r>
    </w:p>
    <w:p w14:paraId="30B33CD1" w14:textId="77777777" w:rsidR="00E016A3" w:rsidRPr="0043731F" w:rsidRDefault="00E016A3" w:rsidP="007A43CD">
      <w:pPr>
        <w:rPr>
          <w:b/>
          <w:sz w:val="22"/>
          <w:szCs w:val="22"/>
          <w:lang w:val="en-GB"/>
        </w:rPr>
      </w:pPr>
      <w:r w:rsidRPr="0043731F">
        <w:rPr>
          <w:b/>
          <w:sz w:val="22"/>
          <w:szCs w:val="22"/>
          <w:lang w:val="en-GB"/>
        </w:rPr>
        <w:t>Figure 3</w:t>
      </w:r>
    </w:p>
    <w:p w14:paraId="58C3F83C" w14:textId="6BB9CD2F" w:rsidR="00E016A3" w:rsidRDefault="00E016A3" w:rsidP="007A43CD">
      <w:pPr>
        <w:rPr>
          <w:bCs/>
          <w:sz w:val="22"/>
          <w:szCs w:val="22"/>
          <w:lang w:val="en-GB"/>
        </w:rPr>
      </w:pPr>
      <w:r w:rsidRPr="0043731F">
        <w:rPr>
          <w:bCs/>
          <w:sz w:val="22"/>
          <w:szCs w:val="22"/>
          <w:lang w:val="en-GB"/>
        </w:rPr>
        <w:t xml:space="preserve">VLSM maps showing lesion correlates of low scores on </w:t>
      </w:r>
      <w:r w:rsidR="002662C9" w:rsidRPr="0043731F">
        <w:rPr>
          <w:bCs/>
          <w:sz w:val="22"/>
          <w:szCs w:val="22"/>
          <w:lang w:val="en-GB"/>
        </w:rPr>
        <w:t xml:space="preserve">the </w:t>
      </w:r>
      <w:r w:rsidR="004D6E9F">
        <w:rPr>
          <w:bCs/>
          <w:sz w:val="22"/>
          <w:szCs w:val="22"/>
          <w:lang w:val="en-GB"/>
        </w:rPr>
        <w:t xml:space="preserve">seven </w:t>
      </w:r>
      <w:r w:rsidR="00983A42" w:rsidRPr="0043731F">
        <w:rPr>
          <w:bCs/>
          <w:sz w:val="22"/>
          <w:szCs w:val="22"/>
          <w:lang w:val="en-GB"/>
        </w:rPr>
        <w:t xml:space="preserve">key </w:t>
      </w:r>
      <w:r w:rsidR="004D6E9F">
        <w:rPr>
          <w:bCs/>
          <w:sz w:val="22"/>
          <w:szCs w:val="22"/>
          <w:lang w:val="en-GB"/>
        </w:rPr>
        <w:t xml:space="preserve">spoken language </w:t>
      </w:r>
      <w:r w:rsidRPr="0043731F">
        <w:rPr>
          <w:bCs/>
          <w:sz w:val="22"/>
          <w:szCs w:val="22"/>
          <w:lang w:val="en-GB"/>
        </w:rPr>
        <w:t xml:space="preserve">measures. The maps are projected onto our healthy older control template (Rorden et al., 2012). Also shown is the approximate localisation of significant voxels projected onto a </w:t>
      </w:r>
      <w:r w:rsidR="001053DE" w:rsidRPr="0043731F">
        <w:rPr>
          <w:bCs/>
          <w:sz w:val="22"/>
          <w:szCs w:val="22"/>
          <w:lang w:val="en-GB"/>
        </w:rPr>
        <w:t xml:space="preserve">surface rendered </w:t>
      </w:r>
      <w:r w:rsidR="00983A42" w:rsidRPr="0043731F">
        <w:rPr>
          <w:bCs/>
          <w:sz w:val="22"/>
          <w:szCs w:val="22"/>
          <w:lang w:val="en-GB"/>
        </w:rPr>
        <w:t xml:space="preserve">left lateral </w:t>
      </w:r>
      <w:r w:rsidR="001053DE" w:rsidRPr="0043731F">
        <w:rPr>
          <w:bCs/>
          <w:sz w:val="22"/>
          <w:szCs w:val="22"/>
          <w:lang w:val="en-GB"/>
        </w:rPr>
        <w:t>view of the</w:t>
      </w:r>
      <w:r w:rsidRPr="0043731F">
        <w:rPr>
          <w:bCs/>
          <w:sz w:val="22"/>
          <w:szCs w:val="22"/>
          <w:lang w:val="en-GB"/>
        </w:rPr>
        <w:t xml:space="preserve"> </w:t>
      </w:r>
      <w:r w:rsidR="006926AA" w:rsidRPr="0043731F">
        <w:rPr>
          <w:bCs/>
          <w:sz w:val="22"/>
          <w:szCs w:val="22"/>
          <w:lang w:val="en-GB"/>
        </w:rPr>
        <w:t>MNI</w:t>
      </w:r>
      <w:r w:rsidRPr="0043731F">
        <w:rPr>
          <w:bCs/>
          <w:sz w:val="22"/>
          <w:szCs w:val="22"/>
          <w:lang w:val="en-GB"/>
        </w:rPr>
        <w:t>152 template</w:t>
      </w:r>
      <w:r w:rsidR="00983A42" w:rsidRPr="0043731F">
        <w:rPr>
          <w:bCs/>
          <w:sz w:val="22"/>
          <w:szCs w:val="22"/>
          <w:lang w:val="en-GB"/>
        </w:rPr>
        <w:t xml:space="preserve"> using MRIcroGL software (Rorden, 2014)</w:t>
      </w:r>
      <w:r w:rsidRPr="0043731F">
        <w:rPr>
          <w:bCs/>
          <w:sz w:val="22"/>
          <w:szCs w:val="22"/>
          <w:lang w:val="en-GB"/>
        </w:rPr>
        <w:t>.</w:t>
      </w:r>
    </w:p>
    <w:p w14:paraId="27994E86" w14:textId="77777777" w:rsidR="00914295" w:rsidRDefault="00914295" w:rsidP="007A43CD">
      <w:pPr>
        <w:rPr>
          <w:bCs/>
          <w:sz w:val="22"/>
          <w:szCs w:val="22"/>
          <w:lang w:val="en-GB"/>
        </w:rPr>
        <w:sectPr w:rsidR="00914295" w:rsidSect="00005E6E">
          <w:headerReference w:type="even" r:id="rId12"/>
          <w:headerReference w:type="default" r:id="rId13"/>
          <w:pgSz w:w="11906" w:h="16838"/>
          <w:pgMar w:top="1134" w:right="1134" w:bottom="1134" w:left="1134" w:header="708" w:footer="708" w:gutter="0"/>
          <w:cols w:space="708"/>
          <w:docGrid w:linePitch="360"/>
        </w:sectPr>
      </w:pPr>
    </w:p>
    <w:p w14:paraId="2BAADC6E" w14:textId="17B8CCE6" w:rsidR="00742A40" w:rsidRDefault="00742A40" w:rsidP="007A43CD">
      <w:pPr>
        <w:rPr>
          <w:bCs/>
          <w:sz w:val="22"/>
          <w:szCs w:val="22"/>
          <w:lang w:val="en-GB"/>
        </w:rPr>
      </w:pPr>
    </w:p>
    <w:p w14:paraId="5E54515B" w14:textId="7872D30A" w:rsidR="0019355B" w:rsidRPr="00F36AAD" w:rsidRDefault="0019355B" w:rsidP="005950FB">
      <w:pPr>
        <w:tabs>
          <w:tab w:val="left" w:pos="3652"/>
          <w:tab w:val="left" w:pos="5400"/>
          <w:tab w:val="left" w:pos="7148"/>
          <w:tab w:val="left" w:pos="8897"/>
          <w:tab w:val="left" w:pos="10645"/>
        </w:tabs>
        <w:ind w:left="108"/>
        <w:rPr>
          <w:b/>
          <w:bCs/>
          <w:sz w:val="22"/>
          <w:szCs w:val="22"/>
        </w:rPr>
      </w:pPr>
    </w:p>
    <w:tbl>
      <w:tblPr>
        <w:tblStyle w:val="TableGrid"/>
        <w:tblW w:w="120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7"/>
        <w:gridCol w:w="1984"/>
        <w:gridCol w:w="1751"/>
        <w:gridCol w:w="1749"/>
        <w:gridCol w:w="1748"/>
        <w:gridCol w:w="1937"/>
      </w:tblGrid>
      <w:tr w:rsidR="00375297" w:rsidRPr="00F36AAD" w14:paraId="6F27EF4E" w14:textId="77777777" w:rsidTr="00375297">
        <w:tc>
          <w:tcPr>
            <w:tcW w:w="2897" w:type="dxa"/>
            <w:tcBorders>
              <w:top w:val="single" w:sz="4" w:space="0" w:color="auto"/>
              <w:bottom w:val="single" w:sz="4" w:space="0" w:color="auto"/>
            </w:tcBorders>
          </w:tcPr>
          <w:p w14:paraId="5001B764" w14:textId="77777777" w:rsidR="0019355B" w:rsidRPr="00F36AAD" w:rsidRDefault="0019355B" w:rsidP="005950FB">
            <w:pPr>
              <w:rPr>
                <w:b/>
                <w:bCs/>
                <w:sz w:val="22"/>
                <w:szCs w:val="22"/>
              </w:rPr>
            </w:pPr>
          </w:p>
        </w:tc>
        <w:tc>
          <w:tcPr>
            <w:tcW w:w="3735" w:type="dxa"/>
            <w:gridSpan w:val="2"/>
            <w:tcBorders>
              <w:top w:val="single" w:sz="4" w:space="0" w:color="auto"/>
              <w:bottom w:val="single" w:sz="4" w:space="0" w:color="auto"/>
            </w:tcBorders>
            <w:shd w:val="clear" w:color="auto" w:fill="auto"/>
          </w:tcPr>
          <w:p w14:paraId="35170868" w14:textId="7F3329F1" w:rsidR="0019355B" w:rsidRPr="00F36AAD" w:rsidRDefault="0019355B" w:rsidP="005950FB">
            <w:pPr>
              <w:jc w:val="center"/>
              <w:rPr>
                <w:b/>
                <w:bCs/>
                <w:sz w:val="22"/>
                <w:szCs w:val="22"/>
              </w:rPr>
            </w:pPr>
            <w:r>
              <w:rPr>
                <w:b/>
                <w:bCs/>
                <w:sz w:val="22"/>
                <w:szCs w:val="22"/>
              </w:rPr>
              <w:t>Fluency and grammaticality measures</w:t>
            </w:r>
          </w:p>
        </w:tc>
        <w:tc>
          <w:tcPr>
            <w:tcW w:w="3497" w:type="dxa"/>
            <w:gridSpan w:val="2"/>
            <w:tcBorders>
              <w:top w:val="single" w:sz="4" w:space="0" w:color="auto"/>
              <w:bottom w:val="single" w:sz="4" w:space="0" w:color="auto"/>
            </w:tcBorders>
          </w:tcPr>
          <w:p w14:paraId="51B465AE" w14:textId="5DC59006" w:rsidR="0019355B" w:rsidRPr="00F36AAD" w:rsidRDefault="0019355B" w:rsidP="005950FB">
            <w:pPr>
              <w:jc w:val="center"/>
              <w:rPr>
                <w:b/>
                <w:bCs/>
                <w:sz w:val="22"/>
                <w:szCs w:val="22"/>
              </w:rPr>
            </w:pPr>
            <w:r>
              <w:rPr>
                <w:b/>
                <w:bCs/>
                <w:sz w:val="22"/>
                <w:szCs w:val="22"/>
              </w:rPr>
              <w:t xml:space="preserve">Context sensitive </w:t>
            </w:r>
            <w:r w:rsidR="00375297">
              <w:rPr>
                <w:b/>
                <w:bCs/>
                <w:sz w:val="22"/>
                <w:szCs w:val="22"/>
              </w:rPr>
              <w:t>measures</w:t>
            </w:r>
          </w:p>
        </w:tc>
        <w:tc>
          <w:tcPr>
            <w:tcW w:w="1937" w:type="dxa"/>
            <w:tcBorders>
              <w:top w:val="single" w:sz="4" w:space="0" w:color="auto"/>
              <w:bottom w:val="single" w:sz="4" w:space="0" w:color="auto"/>
            </w:tcBorders>
          </w:tcPr>
          <w:p w14:paraId="10AD9B35" w14:textId="41547A1D" w:rsidR="0019355B" w:rsidRPr="00F36AAD" w:rsidRDefault="0019355B" w:rsidP="005950FB">
            <w:pPr>
              <w:jc w:val="center"/>
              <w:rPr>
                <w:b/>
                <w:bCs/>
                <w:sz w:val="22"/>
                <w:szCs w:val="22"/>
              </w:rPr>
            </w:pPr>
            <w:r>
              <w:rPr>
                <w:b/>
                <w:bCs/>
                <w:sz w:val="22"/>
                <w:szCs w:val="22"/>
              </w:rPr>
              <w:t>Mixed measures</w:t>
            </w:r>
          </w:p>
        </w:tc>
      </w:tr>
      <w:tr w:rsidR="00375297" w:rsidRPr="00F36AAD" w14:paraId="1902B45E" w14:textId="76E9ED16" w:rsidTr="00375297">
        <w:tc>
          <w:tcPr>
            <w:tcW w:w="2897" w:type="dxa"/>
            <w:tcBorders>
              <w:top w:val="nil"/>
              <w:bottom w:val="single" w:sz="4" w:space="0" w:color="auto"/>
            </w:tcBorders>
          </w:tcPr>
          <w:p w14:paraId="2EDFEA06" w14:textId="77777777" w:rsidR="0019355B" w:rsidRPr="00F36AAD" w:rsidRDefault="0019355B" w:rsidP="005950FB">
            <w:pPr>
              <w:rPr>
                <w:b/>
                <w:bCs/>
                <w:sz w:val="22"/>
                <w:szCs w:val="22"/>
              </w:rPr>
            </w:pPr>
          </w:p>
        </w:tc>
        <w:tc>
          <w:tcPr>
            <w:tcW w:w="1984" w:type="dxa"/>
            <w:tcBorders>
              <w:top w:val="single" w:sz="4" w:space="0" w:color="auto"/>
              <w:bottom w:val="single" w:sz="4" w:space="0" w:color="auto"/>
            </w:tcBorders>
            <w:shd w:val="clear" w:color="auto" w:fill="auto"/>
          </w:tcPr>
          <w:p w14:paraId="5F21C71D" w14:textId="47969538" w:rsidR="0019355B" w:rsidRPr="00F36AAD" w:rsidRDefault="0019355B" w:rsidP="003F1F5B">
            <w:pPr>
              <w:ind w:left="-57" w:right="-48"/>
              <w:jc w:val="center"/>
              <w:rPr>
                <w:b/>
                <w:bCs/>
                <w:sz w:val="22"/>
                <w:szCs w:val="22"/>
              </w:rPr>
            </w:pPr>
            <w:r w:rsidRPr="00F36AAD">
              <w:rPr>
                <w:b/>
                <w:bCs/>
                <w:sz w:val="22"/>
                <w:szCs w:val="22"/>
              </w:rPr>
              <w:t>QPA Closed class propn</w:t>
            </w:r>
            <w:r>
              <w:rPr>
                <w:b/>
                <w:bCs/>
                <w:sz w:val="22"/>
                <w:szCs w:val="22"/>
              </w:rPr>
              <w:t>/ articulatory agility</w:t>
            </w:r>
            <w:r w:rsidR="003F1F5B">
              <w:rPr>
                <w:b/>
                <w:bCs/>
                <w:sz w:val="22"/>
                <w:szCs w:val="22"/>
              </w:rPr>
              <w:t>*</w:t>
            </w:r>
          </w:p>
        </w:tc>
        <w:tc>
          <w:tcPr>
            <w:tcW w:w="1751" w:type="dxa"/>
            <w:tcBorders>
              <w:top w:val="single" w:sz="4" w:space="0" w:color="auto"/>
              <w:bottom w:val="single" w:sz="4" w:space="0" w:color="auto"/>
            </w:tcBorders>
            <w:shd w:val="clear" w:color="auto" w:fill="auto"/>
          </w:tcPr>
          <w:p w14:paraId="2DE082B2" w14:textId="169BC0ED" w:rsidR="0019355B" w:rsidRPr="00F36AAD" w:rsidRDefault="0019355B" w:rsidP="005950FB">
            <w:pPr>
              <w:jc w:val="center"/>
              <w:rPr>
                <w:b/>
                <w:bCs/>
                <w:sz w:val="22"/>
                <w:szCs w:val="22"/>
              </w:rPr>
            </w:pPr>
            <w:r w:rsidRPr="00F36AAD">
              <w:rPr>
                <w:b/>
                <w:bCs/>
                <w:sz w:val="22"/>
                <w:szCs w:val="22"/>
              </w:rPr>
              <w:t>QPA speech rate</w:t>
            </w:r>
          </w:p>
        </w:tc>
        <w:tc>
          <w:tcPr>
            <w:tcW w:w="1749" w:type="dxa"/>
            <w:tcBorders>
              <w:top w:val="single" w:sz="4" w:space="0" w:color="auto"/>
              <w:bottom w:val="single" w:sz="4" w:space="0" w:color="auto"/>
            </w:tcBorders>
          </w:tcPr>
          <w:p w14:paraId="15EF155B" w14:textId="12AE862C" w:rsidR="0019355B" w:rsidRPr="00F36AAD" w:rsidRDefault="0019355B" w:rsidP="005950FB">
            <w:pPr>
              <w:jc w:val="center"/>
              <w:rPr>
                <w:b/>
                <w:bCs/>
                <w:sz w:val="22"/>
                <w:szCs w:val="22"/>
              </w:rPr>
            </w:pPr>
            <w:r w:rsidRPr="00F36AAD">
              <w:rPr>
                <w:b/>
                <w:bCs/>
                <w:sz w:val="22"/>
                <w:szCs w:val="22"/>
              </w:rPr>
              <w:t>Sentence context effect</w:t>
            </w:r>
          </w:p>
        </w:tc>
        <w:tc>
          <w:tcPr>
            <w:tcW w:w="1748" w:type="dxa"/>
            <w:tcBorders>
              <w:top w:val="single" w:sz="4" w:space="0" w:color="auto"/>
              <w:bottom w:val="single" w:sz="4" w:space="0" w:color="auto"/>
            </w:tcBorders>
          </w:tcPr>
          <w:p w14:paraId="5B5A5101" w14:textId="4C5DFBEF" w:rsidR="0019355B" w:rsidRPr="00F36AAD" w:rsidRDefault="0019355B" w:rsidP="005950FB">
            <w:pPr>
              <w:jc w:val="center"/>
              <w:rPr>
                <w:b/>
                <w:bCs/>
                <w:sz w:val="22"/>
                <w:szCs w:val="22"/>
              </w:rPr>
            </w:pPr>
            <w:r w:rsidRPr="00F36AAD">
              <w:rPr>
                <w:b/>
                <w:bCs/>
                <w:sz w:val="22"/>
                <w:szCs w:val="22"/>
              </w:rPr>
              <w:t xml:space="preserve">BCNT relatedness by cycle </w:t>
            </w:r>
          </w:p>
        </w:tc>
        <w:tc>
          <w:tcPr>
            <w:tcW w:w="1937" w:type="dxa"/>
            <w:tcBorders>
              <w:top w:val="single" w:sz="4" w:space="0" w:color="auto"/>
              <w:bottom w:val="single" w:sz="4" w:space="0" w:color="auto"/>
            </w:tcBorders>
          </w:tcPr>
          <w:p w14:paraId="360C7B08" w14:textId="359258B8" w:rsidR="0019355B" w:rsidRPr="00F36AAD" w:rsidRDefault="0019355B" w:rsidP="003F1F5B">
            <w:pPr>
              <w:ind w:left="-57" w:right="-57"/>
              <w:jc w:val="center"/>
              <w:rPr>
                <w:b/>
                <w:bCs/>
                <w:sz w:val="22"/>
                <w:szCs w:val="22"/>
              </w:rPr>
            </w:pPr>
            <w:r w:rsidRPr="00F36AAD">
              <w:rPr>
                <w:b/>
                <w:bCs/>
                <w:sz w:val="22"/>
                <w:szCs w:val="22"/>
              </w:rPr>
              <w:t>Subject frequency effect</w:t>
            </w:r>
            <w:r>
              <w:rPr>
                <w:b/>
                <w:bCs/>
                <w:sz w:val="22"/>
                <w:szCs w:val="22"/>
              </w:rPr>
              <w:t>/sentence relatedness effect</w:t>
            </w:r>
            <w:r w:rsidR="003F1F5B">
              <w:rPr>
                <w:b/>
                <w:bCs/>
                <w:sz w:val="22"/>
                <w:szCs w:val="22"/>
              </w:rPr>
              <w:t>*</w:t>
            </w:r>
          </w:p>
        </w:tc>
      </w:tr>
      <w:tr w:rsidR="00375297" w:rsidRPr="00C7791C" w14:paraId="1C42424F" w14:textId="7EBE0D97" w:rsidTr="00375297">
        <w:tc>
          <w:tcPr>
            <w:tcW w:w="2897" w:type="dxa"/>
            <w:tcBorders>
              <w:top w:val="single" w:sz="4" w:space="0" w:color="auto"/>
            </w:tcBorders>
          </w:tcPr>
          <w:p w14:paraId="523E9196" w14:textId="51B6413E" w:rsidR="0019355B" w:rsidRPr="00C7791C" w:rsidRDefault="0019355B" w:rsidP="009674CF">
            <w:pPr>
              <w:spacing w:before="80"/>
              <w:rPr>
                <w:sz w:val="22"/>
                <w:szCs w:val="22"/>
                <w:lang w:val="en-US"/>
              </w:rPr>
            </w:pPr>
            <w:r w:rsidRPr="004C7C6B">
              <w:rPr>
                <w:sz w:val="22"/>
                <w:szCs w:val="22"/>
              </w:rPr>
              <w:t>Total significant voxels</w:t>
            </w:r>
          </w:p>
        </w:tc>
        <w:tc>
          <w:tcPr>
            <w:tcW w:w="1984" w:type="dxa"/>
            <w:tcBorders>
              <w:top w:val="single" w:sz="4" w:space="0" w:color="auto"/>
            </w:tcBorders>
            <w:shd w:val="clear" w:color="auto" w:fill="auto"/>
            <w:vAlign w:val="bottom"/>
          </w:tcPr>
          <w:p w14:paraId="45640BD2" w14:textId="73D578F3" w:rsidR="0019355B" w:rsidRPr="004C0189" w:rsidRDefault="0019355B" w:rsidP="009674CF">
            <w:pPr>
              <w:spacing w:before="80"/>
              <w:jc w:val="center"/>
              <w:rPr>
                <w:sz w:val="22"/>
                <w:szCs w:val="22"/>
                <w:lang w:val="en-US"/>
              </w:rPr>
            </w:pPr>
            <w:r>
              <w:rPr>
                <w:color w:val="000000"/>
                <w:sz w:val="22"/>
                <w:szCs w:val="22"/>
              </w:rPr>
              <w:t>13659</w:t>
            </w:r>
          </w:p>
        </w:tc>
        <w:tc>
          <w:tcPr>
            <w:tcW w:w="1751" w:type="dxa"/>
            <w:tcBorders>
              <w:top w:val="single" w:sz="4" w:space="0" w:color="auto"/>
            </w:tcBorders>
            <w:shd w:val="clear" w:color="auto" w:fill="auto"/>
            <w:vAlign w:val="bottom"/>
          </w:tcPr>
          <w:p w14:paraId="2A265972" w14:textId="316C89FF" w:rsidR="0019355B" w:rsidRPr="00C7791C" w:rsidRDefault="0019355B" w:rsidP="009674CF">
            <w:pPr>
              <w:spacing w:before="80"/>
              <w:jc w:val="center"/>
              <w:rPr>
                <w:b/>
                <w:bCs/>
                <w:sz w:val="22"/>
                <w:szCs w:val="22"/>
                <w:lang w:val="en-US"/>
              </w:rPr>
            </w:pPr>
            <w:r>
              <w:rPr>
                <w:color w:val="000000"/>
                <w:sz w:val="22"/>
                <w:szCs w:val="22"/>
              </w:rPr>
              <w:t>11079</w:t>
            </w:r>
          </w:p>
        </w:tc>
        <w:tc>
          <w:tcPr>
            <w:tcW w:w="1749" w:type="dxa"/>
            <w:tcBorders>
              <w:top w:val="single" w:sz="4" w:space="0" w:color="auto"/>
            </w:tcBorders>
          </w:tcPr>
          <w:p w14:paraId="449BFDD0" w14:textId="08ED1171" w:rsidR="0019355B" w:rsidRDefault="0019355B" w:rsidP="009674CF">
            <w:pPr>
              <w:spacing w:before="80"/>
              <w:jc w:val="center"/>
              <w:rPr>
                <w:color w:val="000000"/>
                <w:sz w:val="22"/>
                <w:szCs w:val="22"/>
              </w:rPr>
            </w:pPr>
            <w:r w:rsidRPr="004C0189">
              <w:rPr>
                <w:sz w:val="22"/>
                <w:szCs w:val="22"/>
                <w:lang w:val="en-US"/>
              </w:rPr>
              <w:t>14631</w:t>
            </w:r>
          </w:p>
        </w:tc>
        <w:tc>
          <w:tcPr>
            <w:tcW w:w="1748" w:type="dxa"/>
            <w:tcBorders>
              <w:top w:val="single" w:sz="4" w:space="0" w:color="auto"/>
            </w:tcBorders>
            <w:shd w:val="clear" w:color="auto" w:fill="auto"/>
          </w:tcPr>
          <w:p w14:paraId="1CFDDBAA" w14:textId="42C8342C" w:rsidR="0019355B" w:rsidRPr="004C0189" w:rsidRDefault="0019355B" w:rsidP="009674CF">
            <w:pPr>
              <w:spacing w:before="80"/>
              <w:jc w:val="center"/>
              <w:rPr>
                <w:sz w:val="22"/>
                <w:szCs w:val="22"/>
                <w:lang w:val="en-US"/>
              </w:rPr>
            </w:pPr>
            <w:r w:rsidRPr="002A710A">
              <w:rPr>
                <w:color w:val="000000"/>
                <w:sz w:val="22"/>
                <w:szCs w:val="22"/>
              </w:rPr>
              <w:t>21058</w:t>
            </w:r>
          </w:p>
        </w:tc>
        <w:tc>
          <w:tcPr>
            <w:tcW w:w="1937" w:type="dxa"/>
            <w:tcBorders>
              <w:top w:val="single" w:sz="4" w:space="0" w:color="auto"/>
            </w:tcBorders>
          </w:tcPr>
          <w:p w14:paraId="3DA40609" w14:textId="4FEEC6A9" w:rsidR="0019355B" w:rsidRPr="004C0189" w:rsidRDefault="0019355B" w:rsidP="009674CF">
            <w:pPr>
              <w:spacing w:before="80"/>
              <w:jc w:val="center"/>
              <w:rPr>
                <w:sz w:val="22"/>
                <w:szCs w:val="22"/>
                <w:lang w:val="en-US"/>
              </w:rPr>
            </w:pPr>
            <w:r>
              <w:rPr>
                <w:color w:val="000000"/>
                <w:sz w:val="22"/>
                <w:szCs w:val="22"/>
              </w:rPr>
              <w:t>15627</w:t>
            </w:r>
          </w:p>
        </w:tc>
      </w:tr>
      <w:tr w:rsidR="00375297" w:rsidRPr="00C7791C" w14:paraId="2D4AEC16" w14:textId="7E9DF305" w:rsidTr="00375297">
        <w:tc>
          <w:tcPr>
            <w:tcW w:w="2897" w:type="dxa"/>
            <w:vAlign w:val="bottom"/>
          </w:tcPr>
          <w:p w14:paraId="68A06EB9" w14:textId="77777777" w:rsidR="0019355B" w:rsidRPr="003608A0" w:rsidRDefault="0019355B" w:rsidP="00914295">
            <w:pPr>
              <w:ind w:left="113"/>
              <w:rPr>
                <w:sz w:val="22"/>
                <w:szCs w:val="22"/>
                <w:lang w:val="en-US"/>
              </w:rPr>
            </w:pPr>
            <w:r>
              <w:rPr>
                <w:color w:val="000000"/>
                <w:sz w:val="22"/>
                <w:szCs w:val="22"/>
              </w:rPr>
              <w:t>IFG</w:t>
            </w:r>
            <w:r w:rsidRPr="004C7C6B">
              <w:rPr>
                <w:color w:val="000000"/>
                <w:sz w:val="22"/>
                <w:szCs w:val="22"/>
              </w:rPr>
              <w:t>, pars opercularis</w:t>
            </w:r>
          </w:p>
        </w:tc>
        <w:tc>
          <w:tcPr>
            <w:tcW w:w="1984" w:type="dxa"/>
            <w:shd w:val="clear" w:color="auto" w:fill="auto"/>
          </w:tcPr>
          <w:p w14:paraId="6DC4A405" w14:textId="77777777" w:rsidR="0019355B" w:rsidRPr="003608A0" w:rsidRDefault="0019355B" w:rsidP="00914295">
            <w:pPr>
              <w:jc w:val="center"/>
              <w:rPr>
                <w:sz w:val="22"/>
                <w:szCs w:val="22"/>
                <w:lang w:val="en-US"/>
              </w:rPr>
            </w:pPr>
            <w:r w:rsidRPr="003308D2">
              <w:rPr>
                <w:color w:val="000000"/>
                <w:sz w:val="22"/>
                <w:szCs w:val="22"/>
              </w:rPr>
              <w:t>451</w:t>
            </w:r>
            <w:r w:rsidRPr="003308D2">
              <w:rPr>
                <w:sz w:val="22"/>
                <w:lang w:val="en-US"/>
              </w:rPr>
              <w:t xml:space="preserve"> (</w:t>
            </w:r>
            <w:r w:rsidRPr="003308D2">
              <w:rPr>
                <w:color w:val="000000"/>
                <w:sz w:val="22"/>
                <w:szCs w:val="22"/>
              </w:rPr>
              <w:t>8.6</w:t>
            </w:r>
            <w:r w:rsidRPr="003308D2">
              <w:rPr>
                <w:sz w:val="22"/>
                <w:lang w:val="en-US"/>
              </w:rPr>
              <w:t>)</w:t>
            </w:r>
          </w:p>
        </w:tc>
        <w:tc>
          <w:tcPr>
            <w:tcW w:w="1751" w:type="dxa"/>
            <w:shd w:val="clear" w:color="auto" w:fill="auto"/>
            <w:vAlign w:val="bottom"/>
          </w:tcPr>
          <w:p w14:paraId="2BD5347A" w14:textId="71F7AB9F" w:rsidR="0019355B" w:rsidRPr="003608A0" w:rsidRDefault="0019355B" w:rsidP="00914295">
            <w:pPr>
              <w:jc w:val="center"/>
              <w:rPr>
                <w:sz w:val="22"/>
                <w:szCs w:val="22"/>
                <w:lang w:val="en-US"/>
              </w:rPr>
            </w:pPr>
            <w:r>
              <w:rPr>
                <w:sz w:val="22"/>
                <w:szCs w:val="22"/>
                <w:lang w:val="en-US"/>
              </w:rPr>
              <w:t>287 (5,4)</w:t>
            </w:r>
          </w:p>
        </w:tc>
        <w:tc>
          <w:tcPr>
            <w:tcW w:w="1749" w:type="dxa"/>
          </w:tcPr>
          <w:p w14:paraId="6183B2DE" w14:textId="09C2CB7C" w:rsidR="0019355B" w:rsidRPr="009674CF" w:rsidRDefault="0019355B" w:rsidP="00914295">
            <w:pPr>
              <w:jc w:val="center"/>
              <w:rPr>
                <w:b/>
                <w:bCs/>
                <w:color w:val="000000"/>
                <w:sz w:val="22"/>
                <w:szCs w:val="22"/>
              </w:rPr>
            </w:pPr>
            <w:r w:rsidRPr="009674CF">
              <w:rPr>
                <w:b/>
                <w:bCs/>
                <w:color w:val="000000"/>
                <w:sz w:val="22"/>
                <w:szCs w:val="22"/>
              </w:rPr>
              <w:t>2825</w:t>
            </w:r>
            <w:r w:rsidRPr="009674CF">
              <w:rPr>
                <w:b/>
                <w:bCs/>
                <w:sz w:val="22"/>
                <w:lang w:val="en-US"/>
              </w:rPr>
              <w:t xml:space="preserve"> (</w:t>
            </w:r>
            <w:r w:rsidRPr="009674CF">
              <w:rPr>
                <w:b/>
                <w:bCs/>
                <w:color w:val="000000"/>
                <w:sz w:val="22"/>
                <w:szCs w:val="22"/>
              </w:rPr>
              <w:t>53.6</w:t>
            </w:r>
            <w:r w:rsidRPr="009674CF">
              <w:rPr>
                <w:b/>
                <w:bCs/>
                <w:sz w:val="22"/>
                <w:lang w:val="en-US"/>
              </w:rPr>
              <w:t>)</w:t>
            </w:r>
          </w:p>
        </w:tc>
        <w:tc>
          <w:tcPr>
            <w:tcW w:w="1748" w:type="dxa"/>
          </w:tcPr>
          <w:p w14:paraId="287BEAF4" w14:textId="114C3700" w:rsidR="0019355B" w:rsidRPr="00914295" w:rsidRDefault="0019355B" w:rsidP="00914295">
            <w:pPr>
              <w:jc w:val="center"/>
              <w:rPr>
                <w:b/>
                <w:bCs/>
                <w:color w:val="000000"/>
                <w:sz w:val="22"/>
                <w:szCs w:val="22"/>
              </w:rPr>
            </w:pPr>
            <w:r w:rsidRPr="00914295">
              <w:rPr>
                <w:b/>
                <w:bCs/>
                <w:color w:val="000000"/>
                <w:sz w:val="22"/>
                <w:szCs w:val="22"/>
              </w:rPr>
              <w:t>2890</w:t>
            </w:r>
            <w:r w:rsidRPr="00914295">
              <w:rPr>
                <w:b/>
                <w:bCs/>
                <w:sz w:val="22"/>
                <w:lang w:val="en-US"/>
              </w:rPr>
              <w:t xml:space="preserve"> (</w:t>
            </w:r>
            <w:r w:rsidRPr="00914295">
              <w:rPr>
                <w:b/>
                <w:bCs/>
                <w:color w:val="000000"/>
                <w:sz w:val="22"/>
                <w:szCs w:val="22"/>
              </w:rPr>
              <w:t>54.8</w:t>
            </w:r>
            <w:r w:rsidRPr="00914295">
              <w:rPr>
                <w:b/>
                <w:bCs/>
                <w:sz w:val="22"/>
                <w:lang w:val="en-US"/>
              </w:rPr>
              <w:t>)</w:t>
            </w:r>
          </w:p>
        </w:tc>
        <w:tc>
          <w:tcPr>
            <w:tcW w:w="1937" w:type="dxa"/>
          </w:tcPr>
          <w:p w14:paraId="60904A8D" w14:textId="24D4FF89" w:rsidR="0019355B" w:rsidRPr="00914295" w:rsidRDefault="0019355B" w:rsidP="00914295">
            <w:pPr>
              <w:jc w:val="center"/>
              <w:rPr>
                <w:b/>
                <w:bCs/>
                <w:color w:val="000000"/>
                <w:sz w:val="22"/>
                <w:szCs w:val="22"/>
              </w:rPr>
            </w:pPr>
            <w:r w:rsidRPr="003308D2">
              <w:rPr>
                <w:sz w:val="22"/>
                <w:szCs w:val="22"/>
              </w:rPr>
              <w:t>408</w:t>
            </w:r>
            <w:r w:rsidRPr="003308D2">
              <w:rPr>
                <w:sz w:val="22"/>
              </w:rPr>
              <w:t xml:space="preserve"> (</w:t>
            </w:r>
            <w:r w:rsidRPr="003308D2">
              <w:rPr>
                <w:color w:val="000000"/>
                <w:sz w:val="22"/>
                <w:szCs w:val="22"/>
              </w:rPr>
              <w:t>7.7</w:t>
            </w:r>
            <w:r w:rsidRPr="003308D2">
              <w:rPr>
                <w:sz w:val="22"/>
              </w:rPr>
              <w:t>)</w:t>
            </w:r>
          </w:p>
        </w:tc>
      </w:tr>
      <w:tr w:rsidR="00375297" w:rsidRPr="00C7791C" w14:paraId="790A10C2" w14:textId="1B7AE77A" w:rsidTr="00375297">
        <w:tc>
          <w:tcPr>
            <w:tcW w:w="2897" w:type="dxa"/>
            <w:vAlign w:val="bottom"/>
          </w:tcPr>
          <w:p w14:paraId="2E4FD193" w14:textId="77777777" w:rsidR="0019355B" w:rsidRPr="00BB1B58" w:rsidRDefault="0019355B" w:rsidP="00914295">
            <w:pPr>
              <w:ind w:left="113"/>
              <w:rPr>
                <w:color w:val="000000"/>
                <w:sz w:val="22"/>
                <w:szCs w:val="22"/>
              </w:rPr>
            </w:pPr>
            <w:r>
              <w:rPr>
                <w:color w:val="000000"/>
                <w:sz w:val="22"/>
                <w:szCs w:val="22"/>
              </w:rPr>
              <w:t>Middle frontal gyrus</w:t>
            </w:r>
          </w:p>
        </w:tc>
        <w:tc>
          <w:tcPr>
            <w:tcW w:w="1984" w:type="dxa"/>
            <w:shd w:val="clear" w:color="auto" w:fill="auto"/>
          </w:tcPr>
          <w:p w14:paraId="4727B61D" w14:textId="77777777" w:rsidR="0019355B" w:rsidRDefault="0019355B" w:rsidP="00914295">
            <w:pPr>
              <w:jc w:val="center"/>
              <w:rPr>
                <w:color w:val="000000"/>
                <w:sz w:val="22"/>
                <w:szCs w:val="22"/>
              </w:rPr>
            </w:pPr>
            <w:r>
              <w:rPr>
                <w:color w:val="000000"/>
                <w:sz w:val="22"/>
                <w:szCs w:val="22"/>
              </w:rPr>
              <w:t>-</w:t>
            </w:r>
          </w:p>
        </w:tc>
        <w:tc>
          <w:tcPr>
            <w:tcW w:w="1751" w:type="dxa"/>
            <w:shd w:val="clear" w:color="auto" w:fill="auto"/>
            <w:vAlign w:val="bottom"/>
          </w:tcPr>
          <w:p w14:paraId="59825BD6" w14:textId="77777777" w:rsidR="0019355B" w:rsidRPr="00BB1B58" w:rsidRDefault="0019355B" w:rsidP="00914295">
            <w:pPr>
              <w:jc w:val="center"/>
              <w:rPr>
                <w:color w:val="000000"/>
                <w:sz w:val="22"/>
                <w:szCs w:val="22"/>
              </w:rPr>
            </w:pPr>
            <w:r>
              <w:rPr>
                <w:color w:val="000000"/>
                <w:sz w:val="22"/>
                <w:szCs w:val="22"/>
              </w:rPr>
              <w:t>-</w:t>
            </w:r>
          </w:p>
        </w:tc>
        <w:tc>
          <w:tcPr>
            <w:tcW w:w="1749" w:type="dxa"/>
          </w:tcPr>
          <w:p w14:paraId="2EB254A5" w14:textId="110506B4" w:rsidR="0019355B" w:rsidRPr="009674CF" w:rsidRDefault="0019355B" w:rsidP="00914295">
            <w:pPr>
              <w:jc w:val="center"/>
              <w:rPr>
                <w:b/>
                <w:bCs/>
                <w:color w:val="000000"/>
                <w:sz w:val="22"/>
                <w:szCs w:val="22"/>
              </w:rPr>
            </w:pPr>
            <w:r w:rsidRPr="009674CF">
              <w:rPr>
                <w:b/>
                <w:bCs/>
                <w:color w:val="000000"/>
                <w:sz w:val="22"/>
                <w:szCs w:val="22"/>
              </w:rPr>
              <w:t>2583</w:t>
            </w:r>
            <w:r w:rsidRPr="009674CF">
              <w:rPr>
                <w:b/>
                <w:bCs/>
                <w:sz w:val="22"/>
                <w:lang w:val="en-US"/>
              </w:rPr>
              <w:t xml:space="preserve"> (</w:t>
            </w:r>
            <w:r w:rsidRPr="009674CF">
              <w:rPr>
                <w:b/>
                <w:bCs/>
                <w:color w:val="000000"/>
                <w:sz w:val="22"/>
                <w:szCs w:val="22"/>
              </w:rPr>
              <w:t>51.2</w:t>
            </w:r>
            <w:r w:rsidRPr="009674CF">
              <w:rPr>
                <w:b/>
                <w:bCs/>
                <w:sz w:val="22"/>
                <w:lang w:val="en-US"/>
              </w:rPr>
              <w:t>)</w:t>
            </w:r>
          </w:p>
        </w:tc>
        <w:tc>
          <w:tcPr>
            <w:tcW w:w="1748" w:type="dxa"/>
          </w:tcPr>
          <w:p w14:paraId="53C0A159" w14:textId="33E6AF9A" w:rsidR="0019355B" w:rsidRPr="00914295" w:rsidRDefault="0019355B" w:rsidP="00914295">
            <w:pPr>
              <w:jc w:val="center"/>
              <w:rPr>
                <w:b/>
                <w:bCs/>
                <w:color w:val="000000"/>
                <w:sz w:val="22"/>
                <w:szCs w:val="22"/>
              </w:rPr>
            </w:pPr>
            <w:r w:rsidRPr="00914295">
              <w:rPr>
                <w:b/>
                <w:bCs/>
                <w:color w:val="000000"/>
                <w:sz w:val="22"/>
                <w:szCs w:val="22"/>
              </w:rPr>
              <w:t>3177</w:t>
            </w:r>
            <w:r w:rsidRPr="00914295">
              <w:rPr>
                <w:b/>
                <w:bCs/>
                <w:sz w:val="22"/>
                <w:lang w:val="en-US"/>
              </w:rPr>
              <w:t xml:space="preserve"> (</w:t>
            </w:r>
            <w:r w:rsidRPr="00914295">
              <w:rPr>
                <w:b/>
                <w:bCs/>
                <w:color w:val="000000"/>
                <w:sz w:val="22"/>
                <w:szCs w:val="22"/>
              </w:rPr>
              <w:t>63.0</w:t>
            </w:r>
            <w:r w:rsidRPr="00914295">
              <w:rPr>
                <w:b/>
                <w:bCs/>
                <w:sz w:val="22"/>
                <w:lang w:val="en-US"/>
              </w:rPr>
              <w:t>)</w:t>
            </w:r>
          </w:p>
        </w:tc>
        <w:tc>
          <w:tcPr>
            <w:tcW w:w="1937" w:type="dxa"/>
          </w:tcPr>
          <w:p w14:paraId="19CC41A7" w14:textId="1A5BF8D9" w:rsidR="0019355B" w:rsidRPr="00914295" w:rsidRDefault="0019355B" w:rsidP="00914295">
            <w:pPr>
              <w:jc w:val="center"/>
              <w:rPr>
                <w:b/>
                <w:bCs/>
                <w:color w:val="000000"/>
                <w:sz w:val="22"/>
                <w:szCs w:val="22"/>
              </w:rPr>
            </w:pPr>
            <w:r w:rsidRPr="003308D2">
              <w:rPr>
                <w:sz w:val="22"/>
                <w:szCs w:val="22"/>
              </w:rPr>
              <w:t>517</w:t>
            </w:r>
            <w:r w:rsidRPr="003308D2">
              <w:rPr>
                <w:sz w:val="22"/>
              </w:rPr>
              <w:t xml:space="preserve"> (</w:t>
            </w:r>
            <w:r w:rsidRPr="003308D2">
              <w:rPr>
                <w:color w:val="000000"/>
                <w:sz w:val="22"/>
                <w:szCs w:val="22"/>
              </w:rPr>
              <w:t>10.2</w:t>
            </w:r>
            <w:r w:rsidRPr="003308D2">
              <w:rPr>
                <w:sz w:val="22"/>
              </w:rPr>
              <w:t>)</w:t>
            </w:r>
          </w:p>
        </w:tc>
      </w:tr>
      <w:tr w:rsidR="00375297" w:rsidRPr="00C7791C" w14:paraId="6C0EC682" w14:textId="651B6420" w:rsidTr="00375297">
        <w:tc>
          <w:tcPr>
            <w:tcW w:w="2897" w:type="dxa"/>
            <w:vAlign w:val="bottom"/>
          </w:tcPr>
          <w:p w14:paraId="51041097" w14:textId="77777777" w:rsidR="0019355B" w:rsidRPr="004C7C6B" w:rsidRDefault="0019355B" w:rsidP="00914295">
            <w:pPr>
              <w:ind w:left="113"/>
              <w:rPr>
                <w:color w:val="000000"/>
                <w:sz w:val="22"/>
                <w:szCs w:val="22"/>
              </w:rPr>
            </w:pPr>
            <w:r w:rsidRPr="00BB1B58">
              <w:rPr>
                <w:color w:val="000000"/>
                <w:sz w:val="22"/>
                <w:szCs w:val="22"/>
              </w:rPr>
              <w:t>Frontal Operculum Cortex</w:t>
            </w:r>
          </w:p>
        </w:tc>
        <w:tc>
          <w:tcPr>
            <w:tcW w:w="1984" w:type="dxa"/>
            <w:shd w:val="clear" w:color="auto" w:fill="auto"/>
          </w:tcPr>
          <w:p w14:paraId="23FD4EE4" w14:textId="5E1C1EF7" w:rsidR="0019355B" w:rsidRPr="003308D2" w:rsidRDefault="0019355B" w:rsidP="00914295">
            <w:pPr>
              <w:jc w:val="center"/>
              <w:rPr>
                <w:color w:val="000000"/>
                <w:sz w:val="22"/>
                <w:szCs w:val="22"/>
              </w:rPr>
            </w:pPr>
            <w:r>
              <w:rPr>
                <w:color w:val="000000"/>
                <w:sz w:val="22"/>
                <w:szCs w:val="22"/>
              </w:rPr>
              <w:t>435</w:t>
            </w:r>
          </w:p>
        </w:tc>
        <w:tc>
          <w:tcPr>
            <w:tcW w:w="1751" w:type="dxa"/>
            <w:shd w:val="clear" w:color="auto" w:fill="auto"/>
            <w:vAlign w:val="bottom"/>
          </w:tcPr>
          <w:p w14:paraId="47C85918" w14:textId="77777777" w:rsidR="0019355B" w:rsidRDefault="0019355B" w:rsidP="00914295">
            <w:pPr>
              <w:jc w:val="center"/>
              <w:rPr>
                <w:color w:val="000000"/>
                <w:sz w:val="22"/>
                <w:szCs w:val="22"/>
              </w:rPr>
            </w:pPr>
            <w:r w:rsidRPr="00BB1B58">
              <w:rPr>
                <w:color w:val="000000"/>
                <w:sz w:val="22"/>
                <w:szCs w:val="22"/>
              </w:rPr>
              <w:t>681</w:t>
            </w:r>
            <w:r w:rsidRPr="00BB1B58">
              <w:rPr>
                <w:sz w:val="22"/>
              </w:rPr>
              <w:t xml:space="preserve"> (</w:t>
            </w:r>
            <w:r w:rsidRPr="00BB1B58">
              <w:rPr>
                <w:color w:val="000000"/>
                <w:sz w:val="22"/>
                <w:szCs w:val="22"/>
              </w:rPr>
              <w:t>18.0</w:t>
            </w:r>
            <w:r w:rsidRPr="00BB1B58">
              <w:rPr>
                <w:sz w:val="22"/>
              </w:rPr>
              <w:t>)</w:t>
            </w:r>
          </w:p>
        </w:tc>
        <w:tc>
          <w:tcPr>
            <w:tcW w:w="1749" w:type="dxa"/>
          </w:tcPr>
          <w:p w14:paraId="23E7616C" w14:textId="08DED2C7" w:rsidR="0019355B" w:rsidRPr="00BB1B58" w:rsidRDefault="0019355B" w:rsidP="00914295">
            <w:pPr>
              <w:jc w:val="center"/>
              <w:rPr>
                <w:color w:val="000000"/>
                <w:sz w:val="22"/>
                <w:szCs w:val="22"/>
              </w:rPr>
            </w:pPr>
            <w:r>
              <w:rPr>
                <w:color w:val="000000"/>
                <w:sz w:val="22"/>
                <w:szCs w:val="22"/>
              </w:rPr>
              <w:t>-</w:t>
            </w:r>
          </w:p>
        </w:tc>
        <w:tc>
          <w:tcPr>
            <w:tcW w:w="1748" w:type="dxa"/>
          </w:tcPr>
          <w:p w14:paraId="50144E6F" w14:textId="17D81353" w:rsidR="0019355B" w:rsidRDefault="0019355B" w:rsidP="00914295">
            <w:pPr>
              <w:jc w:val="center"/>
              <w:rPr>
                <w:color w:val="000000"/>
                <w:sz w:val="22"/>
                <w:szCs w:val="22"/>
              </w:rPr>
            </w:pPr>
            <w:r>
              <w:rPr>
                <w:color w:val="000000"/>
                <w:sz w:val="22"/>
                <w:szCs w:val="22"/>
              </w:rPr>
              <w:t>-</w:t>
            </w:r>
          </w:p>
        </w:tc>
        <w:tc>
          <w:tcPr>
            <w:tcW w:w="1937" w:type="dxa"/>
          </w:tcPr>
          <w:p w14:paraId="44708CDA" w14:textId="55665AA6" w:rsidR="0019355B" w:rsidRDefault="0019355B" w:rsidP="00914295">
            <w:pPr>
              <w:jc w:val="center"/>
              <w:rPr>
                <w:color w:val="000000"/>
                <w:sz w:val="22"/>
                <w:szCs w:val="22"/>
              </w:rPr>
            </w:pPr>
            <w:r w:rsidRPr="003308D2">
              <w:rPr>
                <w:sz w:val="22"/>
                <w:szCs w:val="22"/>
              </w:rPr>
              <w:t>799</w:t>
            </w:r>
            <w:r w:rsidRPr="003308D2">
              <w:rPr>
                <w:sz w:val="22"/>
              </w:rPr>
              <w:t xml:space="preserve"> (</w:t>
            </w:r>
            <w:r w:rsidRPr="003308D2">
              <w:rPr>
                <w:color w:val="000000"/>
                <w:sz w:val="22"/>
                <w:szCs w:val="22"/>
              </w:rPr>
              <w:t>20.0</w:t>
            </w:r>
            <w:r w:rsidRPr="003308D2">
              <w:rPr>
                <w:sz w:val="22"/>
              </w:rPr>
              <w:t>)</w:t>
            </w:r>
          </w:p>
        </w:tc>
      </w:tr>
      <w:tr w:rsidR="00375297" w:rsidRPr="00C7791C" w14:paraId="2746B515" w14:textId="5EDAC474" w:rsidTr="00375297">
        <w:tc>
          <w:tcPr>
            <w:tcW w:w="2897" w:type="dxa"/>
            <w:vAlign w:val="bottom"/>
          </w:tcPr>
          <w:p w14:paraId="3BA5D55B" w14:textId="4E8078DC" w:rsidR="0019355B" w:rsidRPr="003608A0" w:rsidRDefault="0019355B" w:rsidP="00914295">
            <w:pPr>
              <w:ind w:left="113"/>
              <w:rPr>
                <w:sz w:val="22"/>
                <w:szCs w:val="22"/>
                <w:lang w:val="en-US"/>
              </w:rPr>
            </w:pPr>
            <w:r w:rsidRPr="004C7C6B">
              <w:rPr>
                <w:color w:val="000000"/>
                <w:sz w:val="22"/>
                <w:szCs w:val="22"/>
              </w:rPr>
              <w:t>Insular Cortex</w:t>
            </w:r>
          </w:p>
        </w:tc>
        <w:tc>
          <w:tcPr>
            <w:tcW w:w="1984" w:type="dxa"/>
            <w:shd w:val="clear" w:color="auto" w:fill="auto"/>
          </w:tcPr>
          <w:p w14:paraId="63F6D282" w14:textId="7B583CC6" w:rsidR="0019355B" w:rsidRPr="009674CF" w:rsidRDefault="0019355B" w:rsidP="00914295">
            <w:pPr>
              <w:jc w:val="center"/>
              <w:rPr>
                <w:b/>
                <w:bCs/>
                <w:sz w:val="22"/>
                <w:szCs w:val="22"/>
                <w:lang w:val="en-US"/>
              </w:rPr>
            </w:pPr>
            <w:r w:rsidRPr="009674CF">
              <w:rPr>
                <w:b/>
                <w:bCs/>
                <w:color w:val="000000"/>
                <w:sz w:val="22"/>
                <w:szCs w:val="22"/>
              </w:rPr>
              <w:t>5160</w:t>
            </w:r>
            <w:r w:rsidRPr="009674CF">
              <w:rPr>
                <w:b/>
                <w:bCs/>
                <w:sz w:val="22"/>
                <w:lang w:val="en-US"/>
              </w:rPr>
              <w:t xml:space="preserve"> (</w:t>
            </w:r>
            <w:r w:rsidRPr="009674CF">
              <w:rPr>
                <w:b/>
                <w:bCs/>
                <w:color w:val="000000"/>
                <w:sz w:val="22"/>
                <w:szCs w:val="22"/>
              </w:rPr>
              <w:t>33.7</w:t>
            </w:r>
            <w:r w:rsidRPr="009674CF">
              <w:rPr>
                <w:b/>
                <w:bCs/>
                <w:sz w:val="22"/>
                <w:lang w:val="en-US"/>
              </w:rPr>
              <w:t>)</w:t>
            </w:r>
          </w:p>
        </w:tc>
        <w:tc>
          <w:tcPr>
            <w:tcW w:w="1751" w:type="dxa"/>
            <w:shd w:val="clear" w:color="auto" w:fill="auto"/>
          </w:tcPr>
          <w:p w14:paraId="0EF6A5E3" w14:textId="35DFB53E" w:rsidR="0019355B" w:rsidRPr="009674CF" w:rsidRDefault="0019355B" w:rsidP="00914295">
            <w:pPr>
              <w:jc w:val="center"/>
              <w:rPr>
                <w:b/>
                <w:bCs/>
                <w:sz w:val="22"/>
                <w:szCs w:val="22"/>
                <w:lang w:val="en-US"/>
              </w:rPr>
            </w:pPr>
            <w:r w:rsidRPr="009674CF">
              <w:rPr>
                <w:b/>
                <w:bCs/>
                <w:color w:val="000000"/>
                <w:sz w:val="22"/>
                <w:szCs w:val="22"/>
              </w:rPr>
              <w:t>2564</w:t>
            </w:r>
            <w:r w:rsidRPr="009674CF">
              <w:rPr>
                <w:b/>
                <w:bCs/>
                <w:sz w:val="22"/>
              </w:rPr>
              <w:t xml:space="preserve"> (</w:t>
            </w:r>
            <w:r w:rsidRPr="009674CF">
              <w:rPr>
                <w:b/>
                <w:bCs/>
                <w:color w:val="000000"/>
                <w:sz w:val="22"/>
                <w:szCs w:val="22"/>
              </w:rPr>
              <w:t>16.8</w:t>
            </w:r>
            <w:r w:rsidRPr="009674CF">
              <w:rPr>
                <w:b/>
                <w:bCs/>
                <w:sz w:val="22"/>
              </w:rPr>
              <w:t>)</w:t>
            </w:r>
          </w:p>
        </w:tc>
        <w:tc>
          <w:tcPr>
            <w:tcW w:w="1749" w:type="dxa"/>
          </w:tcPr>
          <w:p w14:paraId="0301E45F" w14:textId="4D7F72D1" w:rsidR="0019355B" w:rsidRPr="003308D2" w:rsidRDefault="0019355B" w:rsidP="00914295">
            <w:pPr>
              <w:jc w:val="center"/>
              <w:rPr>
                <w:color w:val="000000"/>
                <w:sz w:val="22"/>
                <w:szCs w:val="22"/>
              </w:rPr>
            </w:pPr>
            <w:r>
              <w:rPr>
                <w:color w:val="000000"/>
                <w:sz w:val="22"/>
                <w:szCs w:val="22"/>
              </w:rPr>
              <w:t>-</w:t>
            </w:r>
          </w:p>
        </w:tc>
        <w:tc>
          <w:tcPr>
            <w:tcW w:w="1748" w:type="dxa"/>
          </w:tcPr>
          <w:p w14:paraId="361A29AA" w14:textId="576A175D" w:rsidR="0019355B" w:rsidRDefault="0019355B" w:rsidP="00914295">
            <w:pPr>
              <w:jc w:val="center"/>
              <w:rPr>
                <w:color w:val="000000"/>
                <w:sz w:val="22"/>
                <w:szCs w:val="22"/>
              </w:rPr>
            </w:pPr>
            <w:r>
              <w:rPr>
                <w:color w:val="000000"/>
                <w:sz w:val="22"/>
                <w:szCs w:val="22"/>
              </w:rPr>
              <w:t>-</w:t>
            </w:r>
          </w:p>
        </w:tc>
        <w:tc>
          <w:tcPr>
            <w:tcW w:w="1937" w:type="dxa"/>
          </w:tcPr>
          <w:p w14:paraId="49711224" w14:textId="52B06686" w:rsidR="0019355B" w:rsidRPr="00914295" w:rsidRDefault="0019355B" w:rsidP="00914295">
            <w:pPr>
              <w:jc w:val="center"/>
              <w:rPr>
                <w:b/>
                <w:bCs/>
                <w:color w:val="000000"/>
                <w:sz w:val="22"/>
                <w:szCs w:val="22"/>
              </w:rPr>
            </w:pPr>
            <w:r w:rsidRPr="00914295">
              <w:rPr>
                <w:b/>
                <w:bCs/>
                <w:sz w:val="22"/>
                <w:szCs w:val="22"/>
              </w:rPr>
              <w:t>2599</w:t>
            </w:r>
            <w:r w:rsidRPr="00914295">
              <w:rPr>
                <w:b/>
                <w:bCs/>
                <w:sz w:val="22"/>
              </w:rPr>
              <w:t xml:space="preserve"> (</w:t>
            </w:r>
            <w:r w:rsidRPr="00914295">
              <w:rPr>
                <w:b/>
                <w:bCs/>
                <w:color w:val="000000"/>
                <w:sz w:val="22"/>
                <w:szCs w:val="22"/>
              </w:rPr>
              <w:t>17.0</w:t>
            </w:r>
            <w:r w:rsidRPr="00914295">
              <w:rPr>
                <w:b/>
                <w:bCs/>
                <w:sz w:val="22"/>
              </w:rPr>
              <w:t>)</w:t>
            </w:r>
          </w:p>
        </w:tc>
      </w:tr>
      <w:tr w:rsidR="00375297" w:rsidRPr="00C7791C" w14:paraId="7F657C3A" w14:textId="4E00452E" w:rsidTr="00375297">
        <w:tc>
          <w:tcPr>
            <w:tcW w:w="2897" w:type="dxa"/>
            <w:vAlign w:val="bottom"/>
          </w:tcPr>
          <w:p w14:paraId="5E9DA245" w14:textId="56B56099" w:rsidR="0019355B" w:rsidRPr="003608A0" w:rsidRDefault="0019355B" w:rsidP="00914295">
            <w:pPr>
              <w:ind w:left="113"/>
              <w:rPr>
                <w:sz w:val="22"/>
                <w:szCs w:val="22"/>
                <w:lang w:val="en-US"/>
              </w:rPr>
            </w:pPr>
            <w:r w:rsidRPr="004C7C6B">
              <w:rPr>
                <w:color w:val="000000"/>
                <w:sz w:val="22"/>
                <w:szCs w:val="22"/>
              </w:rPr>
              <w:t>Central Opercular Cortex</w:t>
            </w:r>
          </w:p>
        </w:tc>
        <w:tc>
          <w:tcPr>
            <w:tcW w:w="1984" w:type="dxa"/>
            <w:shd w:val="clear" w:color="auto" w:fill="auto"/>
          </w:tcPr>
          <w:p w14:paraId="60672162" w14:textId="0EAACDBE" w:rsidR="0019355B" w:rsidRPr="009674CF" w:rsidRDefault="0019355B" w:rsidP="00914295">
            <w:pPr>
              <w:jc w:val="center"/>
              <w:rPr>
                <w:b/>
                <w:bCs/>
                <w:sz w:val="22"/>
                <w:szCs w:val="22"/>
                <w:lang w:val="en-US"/>
              </w:rPr>
            </w:pPr>
            <w:r w:rsidRPr="009674CF">
              <w:rPr>
                <w:b/>
                <w:bCs/>
                <w:color w:val="000000"/>
                <w:sz w:val="22"/>
                <w:szCs w:val="22"/>
              </w:rPr>
              <w:t>4973</w:t>
            </w:r>
            <w:r w:rsidRPr="009674CF">
              <w:rPr>
                <w:b/>
                <w:bCs/>
                <w:sz w:val="22"/>
                <w:lang w:val="en-US"/>
              </w:rPr>
              <w:t xml:space="preserve"> (</w:t>
            </w:r>
            <w:r w:rsidRPr="009674CF">
              <w:rPr>
                <w:b/>
                <w:bCs/>
                <w:color w:val="000000"/>
                <w:sz w:val="22"/>
                <w:szCs w:val="22"/>
              </w:rPr>
              <w:t>48.7</w:t>
            </w:r>
            <w:r w:rsidRPr="009674CF">
              <w:rPr>
                <w:b/>
                <w:bCs/>
                <w:sz w:val="22"/>
                <w:lang w:val="en-US"/>
              </w:rPr>
              <w:t>)</w:t>
            </w:r>
          </w:p>
        </w:tc>
        <w:tc>
          <w:tcPr>
            <w:tcW w:w="1751" w:type="dxa"/>
            <w:shd w:val="clear" w:color="auto" w:fill="auto"/>
          </w:tcPr>
          <w:p w14:paraId="6F789127" w14:textId="380F5D23" w:rsidR="0019355B" w:rsidRPr="009674CF" w:rsidRDefault="0019355B" w:rsidP="00914295">
            <w:pPr>
              <w:jc w:val="center"/>
              <w:rPr>
                <w:b/>
                <w:bCs/>
                <w:sz w:val="22"/>
                <w:szCs w:val="22"/>
                <w:lang w:val="en-US"/>
              </w:rPr>
            </w:pPr>
            <w:r w:rsidRPr="009674CF">
              <w:rPr>
                <w:b/>
                <w:bCs/>
                <w:color w:val="000000"/>
                <w:sz w:val="22"/>
                <w:szCs w:val="22"/>
              </w:rPr>
              <w:t>1954</w:t>
            </w:r>
            <w:r w:rsidRPr="009674CF">
              <w:rPr>
                <w:b/>
                <w:bCs/>
                <w:sz w:val="22"/>
              </w:rPr>
              <w:t xml:space="preserve"> (</w:t>
            </w:r>
            <w:r w:rsidRPr="009674CF">
              <w:rPr>
                <w:b/>
                <w:bCs/>
                <w:color w:val="000000"/>
                <w:sz w:val="22"/>
                <w:szCs w:val="22"/>
              </w:rPr>
              <w:t>19.2</w:t>
            </w:r>
            <w:r w:rsidRPr="009674CF">
              <w:rPr>
                <w:b/>
                <w:bCs/>
                <w:sz w:val="22"/>
              </w:rPr>
              <w:t>)</w:t>
            </w:r>
          </w:p>
        </w:tc>
        <w:tc>
          <w:tcPr>
            <w:tcW w:w="1749" w:type="dxa"/>
          </w:tcPr>
          <w:p w14:paraId="459BFF7D" w14:textId="668D466D" w:rsidR="0019355B" w:rsidRPr="003308D2" w:rsidRDefault="0019355B" w:rsidP="00914295">
            <w:pPr>
              <w:jc w:val="center"/>
              <w:rPr>
                <w:color w:val="000000"/>
                <w:sz w:val="22"/>
                <w:szCs w:val="22"/>
              </w:rPr>
            </w:pPr>
            <w:r w:rsidRPr="003308D2">
              <w:rPr>
                <w:color w:val="000000"/>
                <w:sz w:val="22"/>
                <w:szCs w:val="22"/>
              </w:rPr>
              <w:t>316</w:t>
            </w:r>
            <w:r w:rsidRPr="003308D2">
              <w:rPr>
                <w:sz w:val="22"/>
                <w:lang w:val="en-US"/>
              </w:rPr>
              <w:t xml:space="preserve"> (</w:t>
            </w:r>
            <w:r w:rsidRPr="003308D2">
              <w:rPr>
                <w:color w:val="000000"/>
                <w:sz w:val="22"/>
                <w:szCs w:val="22"/>
              </w:rPr>
              <w:t>3.1</w:t>
            </w:r>
            <w:r w:rsidRPr="003308D2">
              <w:rPr>
                <w:sz w:val="22"/>
                <w:lang w:val="en-US"/>
              </w:rPr>
              <w:t>)</w:t>
            </w:r>
          </w:p>
        </w:tc>
        <w:tc>
          <w:tcPr>
            <w:tcW w:w="1748" w:type="dxa"/>
          </w:tcPr>
          <w:p w14:paraId="493C2F9F" w14:textId="33EB6E0E" w:rsidR="0019355B" w:rsidRPr="003308D2" w:rsidRDefault="0019355B" w:rsidP="00914295">
            <w:pPr>
              <w:jc w:val="center"/>
              <w:rPr>
                <w:color w:val="000000"/>
                <w:sz w:val="22"/>
                <w:szCs w:val="22"/>
              </w:rPr>
            </w:pPr>
            <w:r w:rsidRPr="003308D2">
              <w:rPr>
                <w:color w:val="000000"/>
                <w:sz w:val="22"/>
                <w:szCs w:val="22"/>
              </w:rPr>
              <w:t>370</w:t>
            </w:r>
            <w:r w:rsidRPr="003308D2">
              <w:rPr>
                <w:sz w:val="22"/>
                <w:lang w:val="en-US"/>
              </w:rPr>
              <w:t xml:space="preserve"> (</w:t>
            </w:r>
            <w:r w:rsidRPr="003308D2">
              <w:rPr>
                <w:color w:val="000000"/>
                <w:sz w:val="22"/>
                <w:szCs w:val="22"/>
              </w:rPr>
              <w:t>3.6</w:t>
            </w:r>
            <w:r w:rsidRPr="003308D2">
              <w:rPr>
                <w:sz w:val="22"/>
                <w:lang w:val="en-US"/>
              </w:rPr>
              <w:t>)</w:t>
            </w:r>
          </w:p>
        </w:tc>
        <w:tc>
          <w:tcPr>
            <w:tcW w:w="1937" w:type="dxa"/>
          </w:tcPr>
          <w:p w14:paraId="139FB676" w14:textId="545A02D0" w:rsidR="0019355B" w:rsidRPr="00914295" w:rsidRDefault="0019355B" w:rsidP="00914295">
            <w:pPr>
              <w:jc w:val="center"/>
              <w:rPr>
                <w:b/>
                <w:bCs/>
                <w:color w:val="000000"/>
                <w:sz w:val="22"/>
                <w:szCs w:val="22"/>
              </w:rPr>
            </w:pPr>
            <w:r w:rsidRPr="00914295">
              <w:rPr>
                <w:b/>
                <w:bCs/>
                <w:sz w:val="22"/>
                <w:szCs w:val="22"/>
              </w:rPr>
              <w:t>2062</w:t>
            </w:r>
            <w:r w:rsidRPr="00914295">
              <w:rPr>
                <w:b/>
                <w:bCs/>
                <w:sz w:val="22"/>
              </w:rPr>
              <w:t xml:space="preserve"> (</w:t>
            </w:r>
            <w:r w:rsidRPr="00914295">
              <w:rPr>
                <w:b/>
                <w:bCs/>
                <w:color w:val="000000"/>
                <w:sz w:val="22"/>
                <w:szCs w:val="22"/>
              </w:rPr>
              <w:t>20.2</w:t>
            </w:r>
            <w:r w:rsidRPr="00914295">
              <w:rPr>
                <w:b/>
                <w:bCs/>
                <w:sz w:val="22"/>
              </w:rPr>
              <w:t>)</w:t>
            </w:r>
          </w:p>
        </w:tc>
      </w:tr>
      <w:tr w:rsidR="00375297" w:rsidRPr="00C7791C" w14:paraId="072E6135" w14:textId="52AFA05C" w:rsidTr="00375297">
        <w:tc>
          <w:tcPr>
            <w:tcW w:w="2897" w:type="dxa"/>
            <w:vAlign w:val="bottom"/>
          </w:tcPr>
          <w:p w14:paraId="735BAF09" w14:textId="0D7223F7" w:rsidR="0019355B" w:rsidRPr="003608A0" w:rsidRDefault="0019355B" w:rsidP="00914295">
            <w:pPr>
              <w:ind w:left="113"/>
              <w:rPr>
                <w:sz w:val="22"/>
                <w:szCs w:val="22"/>
                <w:lang w:val="en-US"/>
              </w:rPr>
            </w:pPr>
            <w:r w:rsidRPr="004C7C6B">
              <w:rPr>
                <w:color w:val="000000"/>
                <w:sz w:val="22"/>
                <w:szCs w:val="22"/>
              </w:rPr>
              <w:t>Precentral Gyrus</w:t>
            </w:r>
          </w:p>
        </w:tc>
        <w:tc>
          <w:tcPr>
            <w:tcW w:w="1984" w:type="dxa"/>
            <w:shd w:val="clear" w:color="auto" w:fill="auto"/>
          </w:tcPr>
          <w:p w14:paraId="1F56D0C0" w14:textId="158FC171" w:rsidR="0019355B" w:rsidRPr="003608A0" w:rsidRDefault="0019355B" w:rsidP="00914295">
            <w:pPr>
              <w:jc w:val="center"/>
              <w:rPr>
                <w:sz w:val="22"/>
                <w:szCs w:val="22"/>
                <w:lang w:val="en-US"/>
              </w:rPr>
            </w:pPr>
            <w:r w:rsidRPr="003308D2">
              <w:rPr>
                <w:color w:val="000000"/>
                <w:sz w:val="22"/>
                <w:szCs w:val="22"/>
              </w:rPr>
              <w:t>726</w:t>
            </w:r>
            <w:r w:rsidRPr="003308D2">
              <w:rPr>
                <w:sz w:val="22"/>
                <w:lang w:val="en-US"/>
              </w:rPr>
              <w:t xml:space="preserve"> (</w:t>
            </w:r>
            <w:r w:rsidR="004A0275">
              <w:rPr>
                <w:color w:val="000000"/>
                <w:sz w:val="22"/>
                <w:szCs w:val="22"/>
              </w:rPr>
              <w:t>3.2</w:t>
            </w:r>
            <w:r w:rsidRPr="003308D2">
              <w:rPr>
                <w:sz w:val="22"/>
                <w:lang w:val="en-US"/>
              </w:rPr>
              <w:t>)</w:t>
            </w:r>
          </w:p>
        </w:tc>
        <w:tc>
          <w:tcPr>
            <w:tcW w:w="1751" w:type="dxa"/>
            <w:shd w:val="clear" w:color="auto" w:fill="auto"/>
            <w:vAlign w:val="bottom"/>
          </w:tcPr>
          <w:p w14:paraId="60931F8D" w14:textId="053F7E68" w:rsidR="0019355B" w:rsidRPr="003608A0" w:rsidRDefault="0019355B" w:rsidP="00914295">
            <w:pPr>
              <w:jc w:val="center"/>
              <w:rPr>
                <w:sz w:val="22"/>
                <w:szCs w:val="22"/>
                <w:lang w:val="en-US"/>
              </w:rPr>
            </w:pPr>
            <w:r w:rsidRPr="003308D2">
              <w:rPr>
                <w:color w:val="000000"/>
                <w:sz w:val="22"/>
                <w:szCs w:val="22"/>
              </w:rPr>
              <w:t>494</w:t>
            </w:r>
            <w:r w:rsidRPr="003308D2">
              <w:rPr>
                <w:sz w:val="22"/>
              </w:rPr>
              <w:t xml:space="preserve"> (</w:t>
            </w:r>
            <w:r w:rsidR="004A0275">
              <w:rPr>
                <w:color w:val="000000"/>
                <w:sz w:val="22"/>
                <w:szCs w:val="22"/>
              </w:rPr>
              <w:t>2.1</w:t>
            </w:r>
            <w:r w:rsidRPr="003308D2">
              <w:rPr>
                <w:sz w:val="22"/>
              </w:rPr>
              <w:t>)</w:t>
            </w:r>
          </w:p>
        </w:tc>
        <w:tc>
          <w:tcPr>
            <w:tcW w:w="1749" w:type="dxa"/>
          </w:tcPr>
          <w:p w14:paraId="4D67C97F" w14:textId="54D3B5CA" w:rsidR="0019355B" w:rsidRPr="009674CF" w:rsidRDefault="0019355B" w:rsidP="00914295">
            <w:pPr>
              <w:jc w:val="center"/>
              <w:rPr>
                <w:b/>
                <w:bCs/>
                <w:color w:val="000000"/>
                <w:sz w:val="22"/>
                <w:szCs w:val="22"/>
              </w:rPr>
            </w:pPr>
            <w:r w:rsidRPr="009674CF">
              <w:rPr>
                <w:b/>
                <w:bCs/>
                <w:color w:val="000000"/>
                <w:sz w:val="22"/>
                <w:szCs w:val="22"/>
              </w:rPr>
              <w:t>6470</w:t>
            </w:r>
            <w:r w:rsidRPr="009674CF">
              <w:rPr>
                <w:b/>
                <w:bCs/>
                <w:sz w:val="22"/>
                <w:lang w:val="en-US"/>
              </w:rPr>
              <w:t xml:space="preserve"> (</w:t>
            </w:r>
            <w:r w:rsidRPr="009674CF">
              <w:rPr>
                <w:b/>
                <w:bCs/>
                <w:color w:val="000000"/>
                <w:sz w:val="22"/>
                <w:szCs w:val="22"/>
              </w:rPr>
              <w:t>28.1</w:t>
            </w:r>
            <w:r w:rsidRPr="009674CF">
              <w:rPr>
                <w:b/>
                <w:bCs/>
                <w:sz w:val="22"/>
                <w:lang w:val="en-US"/>
              </w:rPr>
              <w:t>)</w:t>
            </w:r>
          </w:p>
        </w:tc>
        <w:tc>
          <w:tcPr>
            <w:tcW w:w="1748" w:type="dxa"/>
          </w:tcPr>
          <w:p w14:paraId="3091C680" w14:textId="69E9D105" w:rsidR="0019355B" w:rsidRPr="00914295" w:rsidRDefault="0019355B" w:rsidP="00914295">
            <w:pPr>
              <w:jc w:val="center"/>
              <w:rPr>
                <w:b/>
                <w:bCs/>
                <w:color w:val="000000"/>
                <w:sz w:val="22"/>
                <w:szCs w:val="22"/>
              </w:rPr>
            </w:pPr>
            <w:r w:rsidRPr="00914295">
              <w:rPr>
                <w:b/>
                <w:bCs/>
                <w:color w:val="000000"/>
                <w:sz w:val="22"/>
                <w:szCs w:val="22"/>
              </w:rPr>
              <w:t>8537</w:t>
            </w:r>
            <w:r w:rsidRPr="00914295">
              <w:rPr>
                <w:b/>
                <w:bCs/>
                <w:sz w:val="22"/>
                <w:lang w:val="en-US"/>
              </w:rPr>
              <w:t xml:space="preserve"> (</w:t>
            </w:r>
            <w:r w:rsidRPr="00914295">
              <w:rPr>
                <w:b/>
                <w:bCs/>
                <w:color w:val="000000"/>
                <w:sz w:val="22"/>
                <w:szCs w:val="22"/>
              </w:rPr>
              <w:t>37.1</w:t>
            </w:r>
            <w:r w:rsidRPr="00914295">
              <w:rPr>
                <w:b/>
                <w:bCs/>
                <w:sz w:val="22"/>
                <w:lang w:val="en-US"/>
              </w:rPr>
              <w:t>)</w:t>
            </w:r>
          </w:p>
        </w:tc>
        <w:tc>
          <w:tcPr>
            <w:tcW w:w="1937" w:type="dxa"/>
          </w:tcPr>
          <w:p w14:paraId="12BB811E" w14:textId="1C2AC121" w:rsidR="0019355B" w:rsidRPr="00487ABD" w:rsidRDefault="0019355B" w:rsidP="00914295">
            <w:pPr>
              <w:jc w:val="center"/>
              <w:rPr>
                <w:color w:val="000000"/>
                <w:sz w:val="22"/>
                <w:szCs w:val="22"/>
              </w:rPr>
            </w:pPr>
            <w:r w:rsidRPr="00487ABD">
              <w:rPr>
                <w:sz w:val="22"/>
                <w:szCs w:val="22"/>
              </w:rPr>
              <w:t>1000</w:t>
            </w:r>
            <w:r w:rsidRPr="00487ABD">
              <w:rPr>
                <w:sz w:val="22"/>
              </w:rPr>
              <w:t xml:space="preserve"> (</w:t>
            </w:r>
            <w:r w:rsidRPr="00487ABD">
              <w:rPr>
                <w:color w:val="000000"/>
                <w:sz w:val="22"/>
                <w:szCs w:val="22"/>
              </w:rPr>
              <w:t>4.3</w:t>
            </w:r>
            <w:r w:rsidRPr="00487ABD">
              <w:rPr>
                <w:sz w:val="22"/>
              </w:rPr>
              <w:t>)</w:t>
            </w:r>
          </w:p>
        </w:tc>
      </w:tr>
      <w:tr w:rsidR="00375297" w:rsidRPr="00C7791C" w14:paraId="2C759090" w14:textId="7DC7B347" w:rsidTr="00375297">
        <w:tc>
          <w:tcPr>
            <w:tcW w:w="2897" w:type="dxa"/>
            <w:vAlign w:val="bottom"/>
          </w:tcPr>
          <w:p w14:paraId="179A4D77" w14:textId="7A88E93E" w:rsidR="0019355B" w:rsidRPr="00BB1B58" w:rsidRDefault="0019355B" w:rsidP="00914295">
            <w:pPr>
              <w:ind w:left="113"/>
              <w:rPr>
                <w:color w:val="000000"/>
                <w:sz w:val="22"/>
                <w:szCs w:val="22"/>
              </w:rPr>
            </w:pPr>
            <w:r w:rsidRPr="003608A0">
              <w:rPr>
                <w:color w:val="000000"/>
                <w:sz w:val="22"/>
                <w:szCs w:val="22"/>
              </w:rPr>
              <w:t>Postcentral Gyrus</w:t>
            </w:r>
          </w:p>
        </w:tc>
        <w:tc>
          <w:tcPr>
            <w:tcW w:w="1984" w:type="dxa"/>
            <w:shd w:val="clear" w:color="auto" w:fill="auto"/>
          </w:tcPr>
          <w:p w14:paraId="159A9531" w14:textId="374BA0C8" w:rsidR="0019355B" w:rsidRPr="0019355B" w:rsidRDefault="0019355B" w:rsidP="0019355B">
            <w:pPr>
              <w:jc w:val="center"/>
              <w:rPr>
                <w:color w:val="000000"/>
                <w:sz w:val="22"/>
                <w:szCs w:val="22"/>
              </w:rPr>
            </w:pPr>
            <w:r w:rsidRPr="0019355B">
              <w:rPr>
                <w:color w:val="000000"/>
                <w:sz w:val="22"/>
                <w:szCs w:val="22"/>
              </w:rPr>
              <w:t>337</w:t>
            </w:r>
            <w:r>
              <w:rPr>
                <w:color w:val="000000"/>
                <w:sz w:val="22"/>
                <w:szCs w:val="22"/>
              </w:rPr>
              <w:t>(3.2)</w:t>
            </w:r>
          </w:p>
        </w:tc>
        <w:tc>
          <w:tcPr>
            <w:tcW w:w="1751" w:type="dxa"/>
            <w:shd w:val="clear" w:color="auto" w:fill="auto"/>
            <w:vAlign w:val="bottom"/>
          </w:tcPr>
          <w:p w14:paraId="665A2CCD" w14:textId="610F4C55" w:rsidR="0019355B" w:rsidRPr="00BB1B58" w:rsidRDefault="0019355B" w:rsidP="00914295">
            <w:pPr>
              <w:jc w:val="center"/>
              <w:rPr>
                <w:color w:val="000000"/>
                <w:sz w:val="22"/>
                <w:szCs w:val="22"/>
              </w:rPr>
            </w:pPr>
            <w:r>
              <w:rPr>
                <w:color w:val="000000"/>
                <w:sz w:val="22"/>
                <w:szCs w:val="22"/>
              </w:rPr>
              <w:t>-</w:t>
            </w:r>
          </w:p>
        </w:tc>
        <w:tc>
          <w:tcPr>
            <w:tcW w:w="1749" w:type="dxa"/>
          </w:tcPr>
          <w:p w14:paraId="546BB6F6" w14:textId="512B4847" w:rsidR="0019355B" w:rsidRPr="009674CF" w:rsidRDefault="0019355B" w:rsidP="00914295">
            <w:pPr>
              <w:jc w:val="center"/>
              <w:rPr>
                <w:b/>
                <w:bCs/>
                <w:color w:val="000000"/>
                <w:sz w:val="22"/>
                <w:szCs w:val="22"/>
              </w:rPr>
            </w:pPr>
            <w:r w:rsidRPr="009674CF">
              <w:rPr>
                <w:b/>
                <w:bCs/>
                <w:color w:val="000000"/>
                <w:sz w:val="22"/>
                <w:szCs w:val="22"/>
              </w:rPr>
              <w:t>1962</w:t>
            </w:r>
            <w:r w:rsidRPr="009674CF">
              <w:rPr>
                <w:b/>
                <w:bCs/>
                <w:sz w:val="22"/>
                <w:lang w:val="en-US"/>
              </w:rPr>
              <w:t xml:space="preserve"> (</w:t>
            </w:r>
            <w:r w:rsidRPr="009674CF">
              <w:rPr>
                <w:b/>
                <w:bCs/>
                <w:color w:val="000000"/>
                <w:sz w:val="22"/>
                <w:szCs w:val="22"/>
              </w:rPr>
              <w:t>18.5</w:t>
            </w:r>
            <w:r w:rsidRPr="009674CF">
              <w:rPr>
                <w:b/>
                <w:bCs/>
                <w:sz w:val="22"/>
                <w:lang w:val="en-US"/>
              </w:rPr>
              <w:t>)</w:t>
            </w:r>
          </w:p>
        </w:tc>
        <w:tc>
          <w:tcPr>
            <w:tcW w:w="1748" w:type="dxa"/>
          </w:tcPr>
          <w:p w14:paraId="4F937B1D" w14:textId="4A04A706" w:rsidR="0019355B" w:rsidRPr="00914295" w:rsidRDefault="0019355B" w:rsidP="00914295">
            <w:pPr>
              <w:jc w:val="center"/>
              <w:rPr>
                <w:b/>
                <w:bCs/>
                <w:color w:val="000000"/>
                <w:sz w:val="22"/>
                <w:szCs w:val="22"/>
              </w:rPr>
            </w:pPr>
            <w:r w:rsidRPr="00914295">
              <w:rPr>
                <w:b/>
                <w:bCs/>
                <w:color w:val="000000"/>
                <w:sz w:val="22"/>
                <w:szCs w:val="22"/>
              </w:rPr>
              <w:t>3968</w:t>
            </w:r>
            <w:r w:rsidRPr="00914295">
              <w:rPr>
                <w:b/>
                <w:bCs/>
                <w:sz w:val="22"/>
                <w:lang w:val="en-US"/>
              </w:rPr>
              <w:t xml:space="preserve"> (</w:t>
            </w:r>
            <w:r w:rsidRPr="00914295">
              <w:rPr>
                <w:b/>
                <w:bCs/>
                <w:color w:val="000000"/>
                <w:sz w:val="22"/>
                <w:szCs w:val="22"/>
              </w:rPr>
              <w:t>37.4</w:t>
            </w:r>
            <w:r w:rsidRPr="00914295">
              <w:rPr>
                <w:b/>
                <w:bCs/>
                <w:sz w:val="22"/>
                <w:lang w:val="en-US"/>
              </w:rPr>
              <w:t>)</w:t>
            </w:r>
          </w:p>
        </w:tc>
        <w:tc>
          <w:tcPr>
            <w:tcW w:w="1937" w:type="dxa"/>
          </w:tcPr>
          <w:p w14:paraId="0B67854F" w14:textId="2F3FC11E" w:rsidR="0019355B" w:rsidRPr="00914295" w:rsidRDefault="0019355B" w:rsidP="00914295">
            <w:pPr>
              <w:jc w:val="center"/>
              <w:rPr>
                <w:b/>
                <w:bCs/>
                <w:color w:val="000000"/>
                <w:sz w:val="22"/>
                <w:szCs w:val="22"/>
              </w:rPr>
            </w:pPr>
            <w:r w:rsidRPr="00914295">
              <w:rPr>
                <w:b/>
                <w:bCs/>
                <w:sz w:val="22"/>
                <w:szCs w:val="22"/>
              </w:rPr>
              <w:t>1644</w:t>
            </w:r>
            <w:r w:rsidRPr="00914295">
              <w:rPr>
                <w:b/>
                <w:bCs/>
                <w:sz w:val="22"/>
              </w:rPr>
              <w:t xml:space="preserve"> (</w:t>
            </w:r>
            <w:r w:rsidRPr="00914295">
              <w:rPr>
                <w:b/>
                <w:bCs/>
                <w:color w:val="000000"/>
                <w:sz w:val="22"/>
                <w:szCs w:val="22"/>
              </w:rPr>
              <w:t>15.5</w:t>
            </w:r>
            <w:r w:rsidRPr="00914295">
              <w:rPr>
                <w:b/>
                <w:bCs/>
                <w:sz w:val="22"/>
              </w:rPr>
              <w:t>)</w:t>
            </w:r>
          </w:p>
        </w:tc>
      </w:tr>
      <w:tr w:rsidR="00375297" w:rsidRPr="00C7791C" w14:paraId="05287456" w14:textId="5AB8C4F8" w:rsidTr="00375297">
        <w:tc>
          <w:tcPr>
            <w:tcW w:w="2897" w:type="dxa"/>
            <w:vAlign w:val="bottom"/>
          </w:tcPr>
          <w:p w14:paraId="29C4F6F7" w14:textId="7C03BA1D" w:rsidR="0019355B" w:rsidRPr="004C7C6B" w:rsidRDefault="0019355B" w:rsidP="00914295">
            <w:pPr>
              <w:ind w:left="113"/>
              <w:rPr>
                <w:color w:val="000000"/>
                <w:sz w:val="22"/>
                <w:szCs w:val="22"/>
              </w:rPr>
            </w:pPr>
            <w:r>
              <w:rPr>
                <w:color w:val="000000"/>
                <w:sz w:val="22"/>
                <w:szCs w:val="22"/>
              </w:rPr>
              <w:t>SMG</w:t>
            </w:r>
            <w:r w:rsidRPr="00D703A5">
              <w:rPr>
                <w:color w:val="000000"/>
                <w:sz w:val="22"/>
                <w:szCs w:val="22"/>
              </w:rPr>
              <w:t>, anterior division</w:t>
            </w:r>
          </w:p>
        </w:tc>
        <w:tc>
          <w:tcPr>
            <w:tcW w:w="1984" w:type="dxa"/>
            <w:shd w:val="clear" w:color="auto" w:fill="auto"/>
          </w:tcPr>
          <w:p w14:paraId="04431B94" w14:textId="79AE95F0" w:rsidR="0019355B" w:rsidRPr="0019355B" w:rsidRDefault="004A0275" w:rsidP="0019355B">
            <w:pPr>
              <w:jc w:val="center"/>
              <w:rPr>
                <w:color w:val="000000"/>
                <w:sz w:val="22"/>
                <w:szCs w:val="22"/>
              </w:rPr>
            </w:pPr>
            <w:r>
              <w:rPr>
                <w:color w:val="000000"/>
                <w:sz w:val="22"/>
                <w:szCs w:val="22"/>
              </w:rPr>
              <w:t>-</w:t>
            </w:r>
          </w:p>
        </w:tc>
        <w:tc>
          <w:tcPr>
            <w:tcW w:w="1751" w:type="dxa"/>
            <w:shd w:val="clear" w:color="auto" w:fill="auto"/>
            <w:vAlign w:val="bottom"/>
          </w:tcPr>
          <w:p w14:paraId="1D85B8EF" w14:textId="39BB01E9" w:rsidR="0019355B" w:rsidRDefault="004A0275" w:rsidP="00914295">
            <w:pPr>
              <w:jc w:val="center"/>
              <w:rPr>
                <w:color w:val="000000"/>
                <w:sz w:val="22"/>
                <w:szCs w:val="22"/>
              </w:rPr>
            </w:pPr>
            <w:r>
              <w:rPr>
                <w:color w:val="000000"/>
                <w:sz w:val="22"/>
                <w:szCs w:val="22"/>
              </w:rPr>
              <w:t>-</w:t>
            </w:r>
          </w:p>
        </w:tc>
        <w:tc>
          <w:tcPr>
            <w:tcW w:w="1749" w:type="dxa"/>
          </w:tcPr>
          <w:p w14:paraId="2E147D32" w14:textId="4C96D145" w:rsidR="0019355B" w:rsidRDefault="0019355B" w:rsidP="00914295">
            <w:pPr>
              <w:jc w:val="center"/>
              <w:rPr>
                <w:color w:val="000000"/>
                <w:sz w:val="22"/>
                <w:szCs w:val="22"/>
              </w:rPr>
            </w:pPr>
            <w:r>
              <w:rPr>
                <w:color w:val="000000"/>
                <w:sz w:val="22"/>
                <w:szCs w:val="22"/>
              </w:rPr>
              <w:t>-</w:t>
            </w:r>
          </w:p>
        </w:tc>
        <w:tc>
          <w:tcPr>
            <w:tcW w:w="1748" w:type="dxa"/>
          </w:tcPr>
          <w:p w14:paraId="6313AEDE" w14:textId="734D135F" w:rsidR="0019355B" w:rsidRDefault="004A0275" w:rsidP="00914295">
            <w:pPr>
              <w:jc w:val="center"/>
              <w:rPr>
                <w:color w:val="000000"/>
                <w:sz w:val="22"/>
                <w:szCs w:val="22"/>
              </w:rPr>
            </w:pPr>
            <w:r w:rsidRPr="003308D2">
              <w:rPr>
                <w:color w:val="000000"/>
                <w:sz w:val="22"/>
                <w:szCs w:val="22"/>
              </w:rPr>
              <w:t>361</w:t>
            </w:r>
            <w:r w:rsidRPr="003308D2">
              <w:rPr>
                <w:sz w:val="22"/>
                <w:lang w:val="en-US"/>
              </w:rPr>
              <w:t xml:space="preserve"> (</w:t>
            </w:r>
            <w:r w:rsidRPr="003308D2">
              <w:rPr>
                <w:color w:val="000000"/>
                <w:sz w:val="22"/>
                <w:szCs w:val="22"/>
              </w:rPr>
              <w:t>6.6</w:t>
            </w:r>
            <w:r w:rsidRPr="003308D2">
              <w:rPr>
                <w:sz w:val="22"/>
                <w:lang w:val="en-US"/>
              </w:rPr>
              <w:t>)</w:t>
            </w:r>
          </w:p>
        </w:tc>
        <w:tc>
          <w:tcPr>
            <w:tcW w:w="1937" w:type="dxa"/>
          </w:tcPr>
          <w:p w14:paraId="3D07B536" w14:textId="3BE0633B" w:rsidR="0019355B" w:rsidRDefault="0019355B" w:rsidP="00914295">
            <w:pPr>
              <w:jc w:val="center"/>
              <w:rPr>
                <w:color w:val="000000"/>
                <w:sz w:val="22"/>
                <w:szCs w:val="22"/>
              </w:rPr>
            </w:pPr>
            <w:r w:rsidRPr="003308D2">
              <w:rPr>
                <w:sz w:val="22"/>
                <w:szCs w:val="22"/>
              </w:rPr>
              <w:t>373</w:t>
            </w:r>
            <w:r w:rsidRPr="003308D2">
              <w:rPr>
                <w:sz w:val="22"/>
              </w:rPr>
              <w:t xml:space="preserve"> (</w:t>
            </w:r>
            <w:r w:rsidRPr="003308D2">
              <w:rPr>
                <w:color w:val="000000"/>
                <w:sz w:val="22"/>
                <w:szCs w:val="22"/>
              </w:rPr>
              <w:t>6.8</w:t>
            </w:r>
            <w:r w:rsidRPr="003308D2">
              <w:rPr>
                <w:sz w:val="22"/>
              </w:rPr>
              <w:t>)</w:t>
            </w:r>
          </w:p>
        </w:tc>
      </w:tr>
      <w:tr w:rsidR="00375297" w:rsidRPr="00C7791C" w14:paraId="6BF0349C" w14:textId="77777777" w:rsidTr="00375297">
        <w:tc>
          <w:tcPr>
            <w:tcW w:w="2897" w:type="dxa"/>
            <w:vAlign w:val="bottom"/>
          </w:tcPr>
          <w:p w14:paraId="461262B2" w14:textId="663361D7" w:rsidR="004A0275" w:rsidRDefault="004A0275" w:rsidP="00914295">
            <w:pPr>
              <w:ind w:left="113"/>
              <w:rPr>
                <w:color w:val="000000"/>
                <w:sz w:val="22"/>
                <w:szCs w:val="22"/>
              </w:rPr>
            </w:pPr>
            <w:r w:rsidRPr="0019355B">
              <w:rPr>
                <w:color w:val="000000"/>
                <w:sz w:val="22"/>
                <w:szCs w:val="22"/>
              </w:rPr>
              <w:t>Parietal Operculum Cortex</w:t>
            </w:r>
          </w:p>
        </w:tc>
        <w:tc>
          <w:tcPr>
            <w:tcW w:w="1984" w:type="dxa"/>
            <w:shd w:val="clear" w:color="auto" w:fill="auto"/>
          </w:tcPr>
          <w:p w14:paraId="4A611124" w14:textId="08E9D064" w:rsidR="004A0275" w:rsidRPr="0019355B" w:rsidRDefault="004A0275" w:rsidP="0019355B">
            <w:pPr>
              <w:jc w:val="center"/>
              <w:rPr>
                <w:color w:val="000000"/>
                <w:sz w:val="22"/>
                <w:szCs w:val="22"/>
              </w:rPr>
            </w:pPr>
            <w:r w:rsidRPr="0019355B">
              <w:rPr>
                <w:color w:val="000000"/>
                <w:sz w:val="22"/>
                <w:szCs w:val="22"/>
              </w:rPr>
              <w:t>317</w:t>
            </w:r>
            <w:r>
              <w:rPr>
                <w:color w:val="000000"/>
                <w:sz w:val="22"/>
                <w:szCs w:val="22"/>
              </w:rPr>
              <w:t xml:space="preserve"> (4.9)</w:t>
            </w:r>
          </w:p>
        </w:tc>
        <w:tc>
          <w:tcPr>
            <w:tcW w:w="1751" w:type="dxa"/>
            <w:shd w:val="clear" w:color="auto" w:fill="auto"/>
            <w:vAlign w:val="bottom"/>
          </w:tcPr>
          <w:p w14:paraId="08DB810D" w14:textId="47F2DB22" w:rsidR="004A0275" w:rsidRDefault="004A0275" w:rsidP="00914295">
            <w:pPr>
              <w:jc w:val="center"/>
              <w:rPr>
                <w:color w:val="000000"/>
                <w:sz w:val="22"/>
                <w:szCs w:val="22"/>
              </w:rPr>
            </w:pPr>
            <w:r w:rsidRPr="003308D2">
              <w:rPr>
                <w:color w:val="000000"/>
                <w:sz w:val="22"/>
                <w:szCs w:val="22"/>
              </w:rPr>
              <w:t>311</w:t>
            </w:r>
            <w:r w:rsidRPr="003308D2">
              <w:rPr>
                <w:sz w:val="22"/>
              </w:rPr>
              <w:t xml:space="preserve"> (</w:t>
            </w:r>
            <w:r w:rsidRPr="003308D2">
              <w:rPr>
                <w:color w:val="000000"/>
                <w:sz w:val="22"/>
                <w:szCs w:val="22"/>
              </w:rPr>
              <w:t>4.8</w:t>
            </w:r>
            <w:r w:rsidRPr="003308D2">
              <w:rPr>
                <w:sz w:val="22"/>
              </w:rPr>
              <w:t>)</w:t>
            </w:r>
          </w:p>
        </w:tc>
        <w:tc>
          <w:tcPr>
            <w:tcW w:w="1749" w:type="dxa"/>
          </w:tcPr>
          <w:p w14:paraId="67F28392" w14:textId="0BC451A4" w:rsidR="004A0275" w:rsidRDefault="004A0275" w:rsidP="00914295">
            <w:pPr>
              <w:jc w:val="center"/>
              <w:rPr>
                <w:color w:val="000000"/>
                <w:sz w:val="22"/>
                <w:szCs w:val="22"/>
              </w:rPr>
            </w:pPr>
            <w:r>
              <w:rPr>
                <w:color w:val="000000"/>
                <w:sz w:val="22"/>
                <w:szCs w:val="22"/>
              </w:rPr>
              <w:t>-</w:t>
            </w:r>
          </w:p>
        </w:tc>
        <w:tc>
          <w:tcPr>
            <w:tcW w:w="1748" w:type="dxa"/>
          </w:tcPr>
          <w:p w14:paraId="5DAE6C8D" w14:textId="6EED1194" w:rsidR="004A0275" w:rsidRDefault="004A0275" w:rsidP="00914295">
            <w:pPr>
              <w:jc w:val="center"/>
              <w:rPr>
                <w:color w:val="000000"/>
                <w:sz w:val="22"/>
                <w:szCs w:val="22"/>
              </w:rPr>
            </w:pPr>
            <w:r>
              <w:rPr>
                <w:color w:val="000000"/>
                <w:sz w:val="22"/>
                <w:szCs w:val="22"/>
              </w:rPr>
              <w:t>-</w:t>
            </w:r>
          </w:p>
        </w:tc>
        <w:tc>
          <w:tcPr>
            <w:tcW w:w="1937" w:type="dxa"/>
          </w:tcPr>
          <w:p w14:paraId="07874860" w14:textId="18B05EDE" w:rsidR="004A0275" w:rsidRPr="003308D2" w:rsidRDefault="004A0275" w:rsidP="00914295">
            <w:pPr>
              <w:jc w:val="center"/>
              <w:rPr>
                <w:sz w:val="22"/>
                <w:szCs w:val="22"/>
              </w:rPr>
            </w:pPr>
            <w:r>
              <w:rPr>
                <w:sz w:val="22"/>
                <w:szCs w:val="22"/>
              </w:rPr>
              <w:t>-</w:t>
            </w:r>
          </w:p>
        </w:tc>
      </w:tr>
      <w:tr w:rsidR="00375297" w:rsidRPr="00C7791C" w14:paraId="2AE02031" w14:textId="77777777" w:rsidTr="00375297">
        <w:tc>
          <w:tcPr>
            <w:tcW w:w="2897" w:type="dxa"/>
            <w:vAlign w:val="bottom"/>
          </w:tcPr>
          <w:p w14:paraId="5790F806" w14:textId="6E3FDCE3" w:rsidR="004A0275" w:rsidRDefault="004A0275" w:rsidP="00914295">
            <w:pPr>
              <w:ind w:left="113"/>
              <w:rPr>
                <w:color w:val="000000"/>
                <w:sz w:val="22"/>
                <w:szCs w:val="22"/>
              </w:rPr>
            </w:pPr>
            <w:r w:rsidRPr="0019355B">
              <w:rPr>
                <w:color w:val="000000"/>
                <w:sz w:val="22"/>
                <w:szCs w:val="22"/>
              </w:rPr>
              <w:t>Planum Polare</w:t>
            </w:r>
          </w:p>
        </w:tc>
        <w:tc>
          <w:tcPr>
            <w:tcW w:w="1984" w:type="dxa"/>
            <w:shd w:val="clear" w:color="auto" w:fill="auto"/>
          </w:tcPr>
          <w:p w14:paraId="6F87E61A" w14:textId="14CE5CE5" w:rsidR="004A0275" w:rsidRPr="0019355B" w:rsidRDefault="004A0275" w:rsidP="0019355B">
            <w:pPr>
              <w:jc w:val="center"/>
              <w:rPr>
                <w:color w:val="000000"/>
                <w:sz w:val="22"/>
                <w:szCs w:val="22"/>
              </w:rPr>
            </w:pPr>
            <w:r w:rsidRPr="0019355B">
              <w:rPr>
                <w:color w:val="000000"/>
                <w:sz w:val="22"/>
                <w:szCs w:val="22"/>
              </w:rPr>
              <w:t>334</w:t>
            </w:r>
            <w:r>
              <w:rPr>
                <w:color w:val="000000"/>
                <w:sz w:val="22"/>
                <w:szCs w:val="22"/>
              </w:rPr>
              <w:t xml:space="preserve"> (8.5)</w:t>
            </w:r>
          </w:p>
        </w:tc>
        <w:tc>
          <w:tcPr>
            <w:tcW w:w="1751" w:type="dxa"/>
            <w:shd w:val="clear" w:color="auto" w:fill="auto"/>
            <w:vAlign w:val="bottom"/>
          </w:tcPr>
          <w:p w14:paraId="4B93712D" w14:textId="4ACD8C6E" w:rsidR="004A0275" w:rsidRDefault="004A0275" w:rsidP="00914295">
            <w:pPr>
              <w:jc w:val="center"/>
              <w:rPr>
                <w:color w:val="000000"/>
                <w:sz w:val="22"/>
                <w:szCs w:val="22"/>
              </w:rPr>
            </w:pPr>
            <w:r>
              <w:rPr>
                <w:color w:val="000000"/>
                <w:sz w:val="22"/>
                <w:szCs w:val="22"/>
              </w:rPr>
              <w:t>-</w:t>
            </w:r>
          </w:p>
        </w:tc>
        <w:tc>
          <w:tcPr>
            <w:tcW w:w="1749" w:type="dxa"/>
          </w:tcPr>
          <w:p w14:paraId="72699D64" w14:textId="057CAA04" w:rsidR="004A0275" w:rsidRDefault="004A0275" w:rsidP="00914295">
            <w:pPr>
              <w:jc w:val="center"/>
              <w:rPr>
                <w:color w:val="000000"/>
                <w:sz w:val="22"/>
                <w:szCs w:val="22"/>
              </w:rPr>
            </w:pPr>
            <w:r>
              <w:rPr>
                <w:color w:val="000000"/>
                <w:sz w:val="22"/>
                <w:szCs w:val="22"/>
              </w:rPr>
              <w:t>-</w:t>
            </w:r>
          </w:p>
        </w:tc>
        <w:tc>
          <w:tcPr>
            <w:tcW w:w="1748" w:type="dxa"/>
          </w:tcPr>
          <w:p w14:paraId="58C8018F" w14:textId="17C85487" w:rsidR="004A0275" w:rsidRDefault="004A0275" w:rsidP="00914295">
            <w:pPr>
              <w:jc w:val="center"/>
              <w:rPr>
                <w:color w:val="000000"/>
                <w:sz w:val="22"/>
                <w:szCs w:val="22"/>
              </w:rPr>
            </w:pPr>
            <w:r>
              <w:rPr>
                <w:color w:val="000000"/>
                <w:sz w:val="22"/>
                <w:szCs w:val="22"/>
              </w:rPr>
              <w:t>-</w:t>
            </w:r>
          </w:p>
        </w:tc>
        <w:tc>
          <w:tcPr>
            <w:tcW w:w="1937" w:type="dxa"/>
          </w:tcPr>
          <w:p w14:paraId="0BF0AB16" w14:textId="41343AE6" w:rsidR="004A0275" w:rsidRPr="003308D2" w:rsidRDefault="004A0275" w:rsidP="00914295">
            <w:pPr>
              <w:jc w:val="center"/>
              <w:rPr>
                <w:sz w:val="22"/>
                <w:szCs w:val="22"/>
              </w:rPr>
            </w:pPr>
            <w:r>
              <w:rPr>
                <w:sz w:val="22"/>
                <w:szCs w:val="22"/>
              </w:rPr>
              <w:t>-</w:t>
            </w:r>
          </w:p>
        </w:tc>
      </w:tr>
      <w:tr w:rsidR="00375297" w:rsidRPr="00C7791C" w14:paraId="06B7F9D3" w14:textId="58220BD2" w:rsidTr="00375297">
        <w:tc>
          <w:tcPr>
            <w:tcW w:w="2897" w:type="dxa"/>
            <w:vAlign w:val="bottom"/>
          </w:tcPr>
          <w:p w14:paraId="1953E0D5" w14:textId="1ACFCB5C" w:rsidR="0019355B" w:rsidRPr="003608A0" w:rsidRDefault="0019355B" w:rsidP="00914295">
            <w:pPr>
              <w:ind w:left="113"/>
              <w:rPr>
                <w:sz w:val="22"/>
                <w:szCs w:val="22"/>
                <w:lang w:val="en-US"/>
              </w:rPr>
            </w:pPr>
            <w:r w:rsidRPr="004C7C6B">
              <w:rPr>
                <w:color w:val="000000"/>
                <w:sz w:val="22"/>
                <w:szCs w:val="22"/>
              </w:rPr>
              <w:t>Temporal Pole</w:t>
            </w:r>
          </w:p>
        </w:tc>
        <w:tc>
          <w:tcPr>
            <w:tcW w:w="1984" w:type="dxa"/>
            <w:shd w:val="clear" w:color="auto" w:fill="auto"/>
          </w:tcPr>
          <w:p w14:paraId="41E51628" w14:textId="34DE72B5" w:rsidR="0019355B" w:rsidRPr="003608A0" w:rsidRDefault="0019355B" w:rsidP="00914295">
            <w:pPr>
              <w:jc w:val="center"/>
              <w:rPr>
                <w:sz w:val="22"/>
                <w:szCs w:val="22"/>
                <w:lang w:val="en-US"/>
              </w:rPr>
            </w:pPr>
            <w:r w:rsidRPr="003308D2">
              <w:rPr>
                <w:color w:val="000000"/>
                <w:sz w:val="22"/>
                <w:szCs w:val="22"/>
              </w:rPr>
              <w:t>492</w:t>
            </w:r>
            <w:r w:rsidRPr="003308D2">
              <w:rPr>
                <w:sz w:val="22"/>
                <w:lang w:val="en-US"/>
              </w:rPr>
              <w:t xml:space="preserve"> (</w:t>
            </w:r>
            <w:r w:rsidRPr="003308D2">
              <w:rPr>
                <w:color w:val="000000"/>
                <w:sz w:val="22"/>
                <w:szCs w:val="22"/>
              </w:rPr>
              <w:t>17.3</w:t>
            </w:r>
            <w:r w:rsidRPr="003308D2">
              <w:rPr>
                <w:sz w:val="22"/>
                <w:lang w:val="en-US"/>
              </w:rPr>
              <w:t>)</w:t>
            </w:r>
          </w:p>
        </w:tc>
        <w:tc>
          <w:tcPr>
            <w:tcW w:w="1751" w:type="dxa"/>
            <w:shd w:val="clear" w:color="auto" w:fill="auto"/>
            <w:vAlign w:val="bottom"/>
          </w:tcPr>
          <w:p w14:paraId="0C8FE103" w14:textId="2778D928" w:rsidR="0019355B" w:rsidRPr="003608A0" w:rsidRDefault="0019355B" w:rsidP="00914295">
            <w:pPr>
              <w:jc w:val="center"/>
              <w:rPr>
                <w:sz w:val="22"/>
                <w:szCs w:val="22"/>
                <w:lang w:val="en-US"/>
              </w:rPr>
            </w:pPr>
            <w:r>
              <w:rPr>
                <w:color w:val="000000"/>
                <w:sz w:val="22"/>
                <w:szCs w:val="22"/>
              </w:rPr>
              <w:t>-</w:t>
            </w:r>
          </w:p>
        </w:tc>
        <w:tc>
          <w:tcPr>
            <w:tcW w:w="1749" w:type="dxa"/>
          </w:tcPr>
          <w:p w14:paraId="0F0CEAE9" w14:textId="2D648FD9" w:rsidR="0019355B" w:rsidRDefault="0019355B" w:rsidP="00914295">
            <w:pPr>
              <w:jc w:val="center"/>
              <w:rPr>
                <w:color w:val="000000"/>
                <w:sz w:val="22"/>
                <w:szCs w:val="22"/>
              </w:rPr>
            </w:pPr>
            <w:r>
              <w:rPr>
                <w:color w:val="000000"/>
                <w:sz w:val="22"/>
                <w:szCs w:val="22"/>
              </w:rPr>
              <w:t>-</w:t>
            </w:r>
          </w:p>
        </w:tc>
        <w:tc>
          <w:tcPr>
            <w:tcW w:w="1748" w:type="dxa"/>
          </w:tcPr>
          <w:p w14:paraId="0F94C2EC" w14:textId="7B5F78F6" w:rsidR="0019355B" w:rsidRDefault="004A0275" w:rsidP="00914295">
            <w:pPr>
              <w:jc w:val="center"/>
              <w:rPr>
                <w:color w:val="000000"/>
                <w:sz w:val="22"/>
                <w:szCs w:val="22"/>
              </w:rPr>
            </w:pPr>
            <w:r>
              <w:rPr>
                <w:color w:val="000000"/>
                <w:sz w:val="22"/>
                <w:szCs w:val="22"/>
              </w:rPr>
              <w:t>-</w:t>
            </w:r>
          </w:p>
        </w:tc>
        <w:tc>
          <w:tcPr>
            <w:tcW w:w="1937" w:type="dxa"/>
          </w:tcPr>
          <w:p w14:paraId="45603726" w14:textId="342D74CB" w:rsidR="0019355B" w:rsidRPr="003308D2" w:rsidRDefault="0019355B" w:rsidP="00914295">
            <w:pPr>
              <w:jc w:val="center"/>
              <w:rPr>
                <w:color w:val="000000"/>
                <w:sz w:val="22"/>
                <w:szCs w:val="22"/>
              </w:rPr>
            </w:pPr>
            <w:r>
              <w:rPr>
                <w:color w:val="000000"/>
                <w:sz w:val="22"/>
                <w:szCs w:val="22"/>
              </w:rPr>
              <w:t>-</w:t>
            </w:r>
          </w:p>
        </w:tc>
      </w:tr>
      <w:tr w:rsidR="00375297" w:rsidRPr="00C7791C" w14:paraId="434C8F9A" w14:textId="34B3941D" w:rsidTr="00375297">
        <w:tc>
          <w:tcPr>
            <w:tcW w:w="2897" w:type="dxa"/>
            <w:vAlign w:val="bottom"/>
          </w:tcPr>
          <w:p w14:paraId="791FE5D9" w14:textId="299EE2D8" w:rsidR="0019355B" w:rsidRPr="004C7C6B" w:rsidRDefault="00375297" w:rsidP="00F36AAD">
            <w:pPr>
              <w:ind w:left="142"/>
              <w:rPr>
                <w:color w:val="000000"/>
                <w:sz w:val="22"/>
                <w:szCs w:val="22"/>
              </w:rPr>
            </w:pPr>
            <w:r>
              <w:rPr>
                <w:sz w:val="22"/>
                <w:szCs w:val="22"/>
              </w:rPr>
              <w:t>SLF</w:t>
            </w:r>
            <w:r w:rsidR="0019355B">
              <w:rPr>
                <w:sz w:val="22"/>
                <w:szCs w:val="22"/>
              </w:rPr>
              <w:t xml:space="preserve"> </w:t>
            </w:r>
            <w:r w:rsidR="0019355B" w:rsidRPr="00415C33">
              <w:rPr>
                <w:sz w:val="22"/>
                <w:szCs w:val="22"/>
              </w:rPr>
              <w:t>2</w:t>
            </w:r>
          </w:p>
        </w:tc>
        <w:tc>
          <w:tcPr>
            <w:tcW w:w="1984" w:type="dxa"/>
            <w:shd w:val="clear" w:color="auto" w:fill="auto"/>
          </w:tcPr>
          <w:p w14:paraId="57C19C2F" w14:textId="1227AFBA" w:rsidR="0019355B" w:rsidRPr="003308D2" w:rsidRDefault="0019355B" w:rsidP="00F36AAD">
            <w:pPr>
              <w:jc w:val="center"/>
              <w:rPr>
                <w:color w:val="000000"/>
                <w:sz w:val="22"/>
                <w:szCs w:val="22"/>
              </w:rPr>
            </w:pPr>
            <w:r>
              <w:rPr>
                <w:color w:val="000000"/>
                <w:sz w:val="22"/>
                <w:szCs w:val="22"/>
              </w:rPr>
              <w:t>-</w:t>
            </w:r>
          </w:p>
        </w:tc>
        <w:tc>
          <w:tcPr>
            <w:tcW w:w="1751" w:type="dxa"/>
            <w:shd w:val="clear" w:color="auto" w:fill="auto"/>
          </w:tcPr>
          <w:p w14:paraId="399195B6" w14:textId="178D38DB" w:rsidR="0019355B" w:rsidRPr="003308D2" w:rsidRDefault="0019355B" w:rsidP="00F36AAD">
            <w:pPr>
              <w:jc w:val="center"/>
              <w:rPr>
                <w:color w:val="000000"/>
                <w:sz w:val="22"/>
                <w:szCs w:val="22"/>
              </w:rPr>
            </w:pPr>
            <w:r>
              <w:rPr>
                <w:color w:val="000000"/>
                <w:sz w:val="22"/>
                <w:szCs w:val="22"/>
              </w:rPr>
              <w:t>-</w:t>
            </w:r>
          </w:p>
        </w:tc>
        <w:tc>
          <w:tcPr>
            <w:tcW w:w="1749" w:type="dxa"/>
          </w:tcPr>
          <w:p w14:paraId="21292A68" w14:textId="028CA785" w:rsidR="0019355B" w:rsidRPr="00487ABD" w:rsidRDefault="0019355B" w:rsidP="00F36AAD">
            <w:pPr>
              <w:jc w:val="center"/>
              <w:rPr>
                <w:b/>
                <w:bCs/>
                <w:color w:val="000000"/>
                <w:sz w:val="22"/>
                <w:szCs w:val="22"/>
              </w:rPr>
            </w:pPr>
            <w:r w:rsidRPr="00487ABD">
              <w:rPr>
                <w:b/>
                <w:bCs/>
                <w:sz w:val="22"/>
                <w:szCs w:val="22"/>
              </w:rPr>
              <w:t>2198</w:t>
            </w:r>
            <w:r w:rsidRPr="00487ABD">
              <w:rPr>
                <w:b/>
                <w:bCs/>
                <w:sz w:val="22"/>
              </w:rPr>
              <w:t xml:space="preserve"> (</w:t>
            </w:r>
            <w:r w:rsidRPr="00487ABD">
              <w:rPr>
                <w:b/>
                <w:bCs/>
                <w:color w:val="000000"/>
                <w:sz w:val="22"/>
                <w:szCs w:val="22"/>
              </w:rPr>
              <w:t>16.9</w:t>
            </w:r>
            <w:r w:rsidRPr="00487ABD">
              <w:rPr>
                <w:b/>
                <w:bCs/>
                <w:color w:val="000000"/>
                <w:sz w:val="22"/>
              </w:rPr>
              <w:t>)</w:t>
            </w:r>
          </w:p>
        </w:tc>
        <w:tc>
          <w:tcPr>
            <w:tcW w:w="1748" w:type="dxa"/>
          </w:tcPr>
          <w:p w14:paraId="41A580A3" w14:textId="5573A7CB" w:rsidR="0019355B" w:rsidRPr="00487ABD" w:rsidRDefault="0019355B" w:rsidP="00F36AAD">
            <w:pPr>
              <w:jc w:val="center"/>
              <w:rPr>
                <w:b/>
                <w:bCs/>
                <w:sz w:val="22"/>
                <w:szCs w:val="22"/>
              </w:rPr>
            </w:pPr>
            <w:r w:rsidRPr="00487ABD">
              <w:rPr>
                <w:b/>
                <w:bCs/>
                <w:sz w:val="22"/>
                <w:szCs w:val="22"/>
              </w:rPr>
              <w:t>2953</w:t>
            </w:r>
            <w:r w:rsidRPr="00487ABD">
              <w:rPr>
                <w:b/>
                <w:bCs/>
                <w:sz w:val="22"/>
                <w:lang w:val="en-US"/>
              </w:rPr>
              <w:t xml:space="preserve"> (</w:t>
            </w:r>
            <w:r w:rsidRPr="00487ABD">
              <w:rPr>
                <w:b/>
                <w:bCs/>
                <w:color w:val="000000"/>
                <w:sz w:val="22"/>
                <w:szCs w:val="22"/>
              </w:rPr>
              <w:t>22.7</w:t>
            </w:r>
            <w:r w:rsidRPr="00487ABD">
              <w:rPr>
                <w:b/>
                <w:bCs/>
                <w:sz w:val="22"/>
                <w:lang w:val="en-US"/>
              </w:rPr>
              <w:t>)</w:t>
            </w:r>
          </w:p>
        </w:tc>
        <w:tc>
          <w:tcPr>
            <w:tcW w:w="1937" w:type="dxa"/>
          </w:tcPr>
          <w:p w14:paraId="60BE6F04" w14:textId="16AA4346" w:rsidR="0019355B" w:rsidRPr="003308D2" w:rsidRDefault="0019355B" w:rsidP="00F36AAD">
            <w:pPr>
              <w:jc w:val="center"/>
              <w:rPr>
                <w:sz w:val="22"/>
                <w:szCs w:val="22"/>
              </w:rPr>
            </w:pPr>
            <w:r w:rsidRPr="003308D2">
              <w:rPr>
                <w:sz w:val="22"/>
                <w:szCs w:val="22"/>
              </w:rPr>
              <w:t>423</w:t>
            </w:r>
            <w:r w:rsidRPr="003308D2">
              <w:rPr>
                <w:sz w:val="22"/>
                <w:lang w:val="en-US"/>
              </w:rPr>
              <w:t xml:space="preserve"> (</w:t>
            </w:r>
            <w:r w:rsidRPr="003308D2">
              <w:rPr>
                <w:color w:val="000000"/>
                <w:sz w:val="22"/>
                <w:szCs w:val="22"/>
              </w:rPr>
              <w:t>3.2</w:t>
            </w:r>
            <w:r w:rsidRPr="003308D2">
              <w:rPr>
                <w:sz w:val="22"/>
                <w:lang w:val="en-US"/>
              </w:rPr>
              <w:t>)</w:t>
            </w:r>
          </w:p>
        </w:tc>
      </w:tr>
      <w:tr w:rsidR="00375297" w:rsidRPr="00C7791C" w14:paraId="79B275DB" w14:textId="0948B25F" w:rsidTr="00375297">
        <w:tc>
          <w:tcPr>
            <w:tcW w:w="2897" w:type="dxa"/>
            <w:vAlign w:val="bottom"/>
          </w:tcPr>
          <w:p w14:paraId="1697D1FA" w14:textId="2577814E" w:rsidR="0019355B" w:rsidRPr="00415C33" w:rsidRDefault="00375297" w:rsidP="00F36AAD">
            <w:pPr>
              <w:ind w:left="142"/>
              <w:rPr>
                <w:sz w:val="22"/>
                <w:szCs w:val="22"/>
                <w:lang w:val="en-US"/>
              </w:rPr>
            </w:pPr>
            <w:r>
              <w:rPr>
                <w:sz w:val="22"/>
                <w:szCs w:val="22"/>
              </w:rPr>
              <w:t>SLF</w:t>
            </w:r>
            <w:r w:rsidR="0019355B">
              <w:rPr>
                <w:color w:val="000000"/>
                <w:sz w:val="22"/>
                <w:szCs w:val="22"/>
              </w:rPr>
              <w:t xml:space="preserve"> </w:t>
            </w:r>
            <w:r w:rsidR="0019355B" w:rsidRPr="004C7C6B">
              <w:rPr>
                <w:color w:val="000000"/>
                <w:sz w:val="22"/>
                <w:szCs w:val="22"/>
              </w:rPr>
              <w:t>3</w:t>
            </w:r>
            <w:r w:rsidR="0019355B">
              <w:rPr>
                <w:color w:val="000000"/>
                <w:sz w:val="22"/>
                <w:szCs w:val="22"/>
              </w:rPr>
              <w:t xml:space="preserve"> </w:t>
            </w:r>
          </w:p>
        </w:tc>
        <w:tc>
          <w:tcPr>
            <w:tcW w:w="1984" w:type="dxa"/>
            <w:shd w:val="clear" w:color="auto" w:fill="auto"/>
          </w:tcPr>
          <w:p w14:paraId="595F1B31" w14:textId="0620C896" w:rsidR="0019355B" w:rsidRPr="00415C33" w:rsidRDefault="0019355B" w:rsidP="00F36AAD">
            <w:pPr>
              <w:jc w:val="center"/>
              <w:rPr>
                <w:sz w:val="22"/>
                <w:szCs w:val="22"/>
                <w:lang w:val="en-US"/>
              </w:rPr>
            </w:pPr>
            <w:r w:rsidRPr="003308D2">
              <w:rPr>
                <w:color w:val="000000"/>
                <w:sz w:val="22"/>
                <w:szCs w:val="22"/>
              </w:rPr>
              <w:t>985</w:t>
            </w:r>
            <w:r w:rsidRPr="003308D2">
              <w:rPr>
                <w:sz w:val="22"/>
                <w:lang w:val="en-US"/>
              </w:rPr>
              <w:t xml:space="preserve"> (</w:t>
            </w:r>
            <w:r w:rsidRPr="003308D2">
              <w:rPr>
                <w:color w:val="000000"/>
                <w:sz w:val="22"/>
                <w:szCs w:val="22"/>
              </w:rPr>
              <w:t>7.7</w:t>
            </w:r>
            <w:r w:rsidRPr="003308D2">
              <w:rPr>
                <w:sz w:val="22"/>
                <w:lang w:val="en-US"/>
              </w:rPr>
              <w:t>)</w:t>
            </w:r>
          </w:p>
        </w:tc>
        <w:tc>
          <w:tcPr>
            <w:tcW w:w="1751" w:type="dxa"/>
            <w:shd w:val="clear" w:color="auto" w:fill="auto"/>
          </w:tcPr>
          <w:p w14:paraId="30A3098F" w14:textId="23300DC1" w:rsidR="0019355B" w:rsidRPr="00362442" w:rsidRDefault="0019355B" w:rsidP="00F36AAD">
            <w:pPr>
              <w:jc w:val="center"/>
              <w:rPr>
                <w:sz w:val="22"/>
                <w:szCs w:val="22"/>
                <w:lang w:val="en-US"/>
              </w:rPr>
            </w:pPr>
            <w:r w:rsidRPr="003308D2">
              <w:rPr>
                <w:color w:val="000000"/>
                <w:sz w:val="22"/>
                <w:szCs w:val="22"/>
              </w:rPr>
              <w:t>673</w:t>
            </w:r>
            <w:r w:rsidRPr="003308D2">
              <w:rPr>
                <w:b/>
                <w:bCs/>
                <w:color w:val="000000"/>
                <w:sz w:val="22"/>
              </w:rPr>
              <w:t xml:space="preserve"> (</w:t>
            </w:r>
            <w:r w:rsidRPr="003308D2">
              <w:rPr>
                <w:color w:val="000000"/>
                <w:sz w:val="22"/>
                <w:szCs w:val="22"/>
              </w:rPr>
              <w:t>5.3</w:t>
            </w:r>
            <w:r w:rsidRPr="003308D2">
              <w:rPr>
                <w:b/>
                <w:bCs/>
                <w:color w:val="000000"/>
                <w:sz w:val="22"/>
              </w:rPr>
              <w:t>)</w:t>
            </w:r>
          </w:p>
        </w:tc>
        <w:tc>
          <w:tcPr>
            <w:tcW w:w="1749" w:type="dxa"/>
          </w:tcPr>
          <w:p w14:paraId="35ABBA6D" w14:textId="690341DA" w:rsidR="0019355B" w:rsidRPr="00487ABD" w:rsidRDefault="0019355B" w:rsidP="00F36AAD">
            <w:pPr>
              <w:jc w:val="center"/>
              <w:rPr>
                <w:b/>
                <w:bCs/>
                <w:color w:val="000000"/>
                <w:sz w:val="22"/>
                <w:szCs w:val="22"/>
              </w:rPr>
            </w:pPr>
            <w:r w:rsidRPr="00487ABD">
              <w:rPr>
                <w:b/>
                <w:bCs/>
                <w:sz w:val="22"/>
                <w:szCs w:val="22"/>
              </w:rPr>
              <w:t>2036</w:t>
            </w:r>
            <w:r w:rsidRPr="00487ABD">
              <w:rPr>
                <w:b/>
                <w:bCs/>
                <w:sz w:val="22"/>
              </w:rPr>
              <w:t xml:space="preserve"> (</w:t>
            </w:r>
            <w:r w:rsidRPr="00487ABD">
              <w:rPr>
                <w:b/>
                <w:bCs/>
                <w:color w:val="000000"/>
                <w:sz w:val="22"/>
                <w:szCs w:val="22"/>
              </w:rPr>
              <w:t>16.0</w:t>
            </w:r>
            <w:r w:rsidRPr="00487ABD">
              <w:rPr>
                <w:b/>
                <w:bCs/>
                <w:color w:val="000000"/>
                <w:sz w:val="22"/>
              </w:rPr>
              <w:t>)</w:t>
            </w:r>
          </w:p>
        </w:tc>
        <w:tc>
          <w:tcPr>
            <w:tcW w:w="1748" w:type="dxa"/>
          </w:tcPr>
          <w:p w14:paraId="026C195E" w14:textId="50F8F83A" w:rsidR="0019355B" w:rsidRPr="00487ABD" w:rsidRDefault="0019355B" w:rsidP="00F36AAD">
            <w:pPr>
              <w:jc w:val="center"/>
              <w:rPr>
                <w:b/>
                <w:bCs/>
                <w:sz w:val="22"/>
                <w:szCs w:val="22"/>
              </w:rPr>
            </w:pPr>
            <w:r w:rsidRPr="00487ABD">
              <w:rPr>
                <w:b/>
                <w:bCs/>
                <w:sz w:val="22"/>
                <w:szCs w:val="22"/>
              </w:rPr>
              <w:t>2248</w:t>
            </w:r>
            <w:r w:rsidRPr="00487ABD">
              <w:rPr>
                <w:b/>
                <w:bCs/>
                <w:sz w:val="22"/>
                <w:lang w:val="en-US"/>
              </w:rPr>
              <w:t xml:space="preserve"> (</w:t>
            </w:r>
            <w:r w:rsidRPr="00487ABD">
              <w:rPr>
                <w:b/>
                <w:bCs/>
                <w:color w:val="000000"/>
                <w:sz w:val="22"/>
                <w:szCs w:val="22"/>
              </w:rPr>
              <w:t>17.6</w:t>
            </w:r>
            <w:r w:rsidRPr="00487ABD">
              <w:rPr>
                <w:b/>
                <w:bCs/>
                <w:sz w:val="22"/>
                <w:lang w:val="en-US"/>
              </w:rPr>
              <w:t>)</w:t>
            </w:r>
          </w:p>
        </w:tc>
        <w:tc>
          <w:tcPr>
            <w:tcW w:w="1937" w:type="dxa"/>
          </w:tcPr>
          <w:p w14:paraId="6E2F6B02" w14:textId="1CE39A44" w:rsidR="0019355B" w:rsidRPr="003308D2" w:rsidRDefault="0019355B" w:rsidP="00F36AAD">
            <w:pPr>
              <w:jc w:val="center"/>
              <w:rPr>
                <w:sz w:val="22"/>
                <w:szCs w:val="22"/>
              </w:rPr>
            </w:pPr>
            <w:r w:rsidRPr="003308D2">
              <w:rPr>
                <w:sz w:val="22"/>
                <w:szCs w:val="22"/>
              </w:rPr>
              <w:t>1089</w:t>
            </w:r>
            <w:r w:rsidRPr="003308D2">
              <w:rPr>
                <w:sz w:val="22"/>
                <w:lang w:val="en-US"/>
              </w:rPr>
              <w:t xml:space="preserve"> (</w:t>
            </w:r>
            <w:r w:rsidRPr="003308D2">
              <w:rPr>
                <w:color w:val="000000"/>
                <w:sz w:val="22"/>
                <w:szCs w:val="22"/>
              </w:rPr>
              <w:t>8.5</w:t>
            </w:r>
            <w:r w:rsidRPr="003308D2">
              <w:rPr>
                <w:sz w:val="22"/>
                <w:lang w:val="en-US"/>
              </w:rPr>
              <w:t>)</w:t>
            </w:r>
          </w:p>
        </w:tc>
      </w:tr>
      <w:tr w:rsidR="00375297" w:rsidRPr="00C7791C" w14:paraId="4B149656" w14:textId="06C9FAAC" w:rsidTr="00375297">
        <w:tc>
          <w:tcPr>
            <w:tcW w:w="2897" w:type="dxa"/>
            <w:vAlign w:val="bottom"/>
          </w:tcPr>
          <w:p w14:paraId="4357301E" w14:textId="07CE1DEE" w:rsidR="0019355B" w:rsidRPr="004C7C6B" w:rsidRDefault="0019355B" w:rsidP="00F36AAD">
            <w:pPr>
              <w:ind w:left="142"/>
              <w:rPr>
                <w:color w:val="000000"/>
                <w:sz w:val="22"/>
                <w:szCs w:val="22"/>
              </w:rPr>
            </w:pPr>
            <w:r w:rsidRPr="004C7C6B">
              <w:rPr>
                <w:color w:val="000000"/>
                <w:sz w:val="22"/>
                <w:szCs w:val="22"/>
              </w:rPr>
              <w:t>Frontal</w:t>
            </w:r>
            <w:r>
              <w:rPr>
                <w:color w:val="000000"/>
                <w:sz w:val="22"/>
                <w:szCs w:val="22"/>
              </w:rPr>
              <w:t xml:space="preserve"> a</w:t>
            </w:r>
            <w:r w:rsidRPr="004C7C6B">
              <w:rPr>
                <w:color w:val="000000"/>
                <w:sz w:val="22"/>
                <w:szCs w:val="22"/>
              </w:rPr>
              <w:t>slant</w:t>
            </w:r>
            <w:r>
              <w:rPr>
                <w:color w:val="000000"/>
                <w:sz w:val="22"/>
                <w:szCs w:val="22"/>
              </w:rPr>
              <w:t xml:space="preserve"> t</w:t>
            </w:r>
            <w:r w:rsidRPr="004C7C6B">
              <w:rPr>
                <w:color w:val="000000"/>
                <w:sz w:val="22"/>
                <w:szCs w:val="22"/>
              </w:rPr>
              <w:t>ract</w:t>
            </w:r>
          </w:p>
        </w:tc>
        <w:tc>
          <w:tcPr>
            <w:tcW w:w="1984" w:type="dxa"/>
            <w:shd w:val="clear" w:color="auto" w:fill="auto"/>
          </w:tcPr>
          <w:p w14:paraId="02DDCB70" w14:textId="095EEB83" w:rsidR="0019355B" w:rsidRPr="003308D2" w:rsidRDefault="0019355B" w:rsidP="00F36AAD">
            <w:pPr>
              <w:jc w:val="center"/>
              <w:rPr>
                <w:color w:val="000000"/>
                <w:sz w:val="22"/>
                <w:szCs w:val="22"/>
              </w:rPr>
            </w:pPr>
            <w:r w:rsidRPr="003308D2">
              <w:rPr>
                <w:color w:val="000000"/>
                <w:sz w:val="22"/>
                <w:szCs w:val="22"/>
              </w:rPr>
              <w:t>319</w:t>
            </w:r>
            <w:r w:rsidRPr="003308D2">
              <w:rPr>
                <w:sz w:val="22"/>
                <w:lang w:val="en-US"/>
              </w:rPr>
              <w:t xml:space="preserve"> (</w:t>
            </w:r>
            <w:r w:rsidRPr="003308D2">
              <w:rPr>
                <w:color w:val="000000"/>
                <w:sz w:val="22"/>
                <w:szCs w:val="22"/>
              </w:rPr>
              <w:t>6.4</w:t>
            </w:r>
            <w:r w:rsidRPr="003308D2">
              <w:rPr>
                <w:sz w:val="22"/>
                <w:lang w:val="en-US"/>
              </w:rPr>
              <w:t>)</w:t>
            </w:r>
          </w:p>
        </w:tc>
        <w:tc>
          <w:tcPr>
            <w:tcW w:w="1751" w:type="dxa"/>
            <w:shd w:val="clear" w:color="auto" w:fill="auto"/>
          </w:tcPr>
          <w:p w14:paraId="11D247AE" w14:textId="058C73B8" w:rsidR="0019355B" w:rsidRPr="00487ABD" w:rsidRDefault="0019355B" w:rsidP="00F36AAD">
            <w:pPr>
              <w:jc w:val="center"/>
              <w:rPr>
                <w:b/>
                <w:bCs/>
                <w:color w:val="000000"/>
                <w:sz w:val="22"/>
                <w:szCs w:val="22"/>
              </w:rPr>
            </w:pPr>
            <w:r w:rsidRPr="00487ABD">
              <w:rPr>
                <w:b/>
                <w:bCs/>
                <w:color w:val="000000"/>
                <w:sz w:val="22"/>
                <w:szCs w:val="22"/>
              </w:rPr>
              <w:t>1208</w:t>
            </w:r>
            <w:r w:rsidRPr="00487ABD">
              <w:rPr>
                <w:b/>
                <w:bCs/>
                <w:sz w:val="22"/>
              </w:rPr>
              <w:t xml:space="preserve"> (</w:t>
            </w:r>
            <w:r w:rsidRPr="00487ABD">
              <w:rPr>
                <w:b/>
                <w:bCs/>
                <w:color w:val="000000"/>
                <w:sz w:val="22"/>
                <w:szCs w:val="22"/>
              </w:rPr>
              <w:t>24.1</w:t>
            </w:r>
            <w:r w:rsidRPr="00487ABD">
              <w:rPr>
                <w:b/>
                <w:bCs/>
                <w:sz w:val="22"/>
              </w:rPr>
              <w:t>)</w:t>
            </w:r>
          </w:p>
        </w:tc>
        <w:tc>
          <w:tcPr>
            <w:tcW w:w="1749" w:type="dxa"/>
          </w:tcPr>
          <w:p w14:paraId="7FC69084" w14:textId="3D022C4D" w:rsidR="0019355B" w:rsidRPr="003308D2" w:rsidRDefault="0019355B" w:rsidP="00F36AAD">
            <w:pPr>
              <w:jc w:val="center"/>
              <w:rPr>
                <w:color w:val="000000"/>
                <w:sz w:val="22"/>
                <w:szCs w:val="22"/>
              </w:rPr>
            </w:pPr>
            <w:r w:rsidRPr="003308D2">
              <w:rPr>
                <w:sz w:val="22"/>
                <w:szCs w:val="22"/>
              </w:rPr>
              <w:t>900</w:t>
            </w:r>
            <w:r w:rsidRPr="003308D2">
              <w:rPr>
                <w:sz w:val="22"/>
                <w:lang w:val="en-US"/>
              </w:rPr>
              <w:t xml:space="preserve"> (</w:t>
            </w:r>
            <w:r w:rsidRPr="003308D2">
              <w:rPr>
                <w:color w:val="000000"/>
                <w:sz w:val="22"/>
                <w:szCs w:val="22"/>
              </w:rPr>
              <w:t>17.9</w:t>
            </w:r>
            <w:r w:rsidRPr="003308D2">
              <w:rPr>
                <w:sz w:val="22"/>
                <w:lang w:val="en-US"/>
              </w:rPr>
              <w:t>)</w:t>
            </w:r>
          </w:p>
        </w:tc>
        <w:tc>
          <w:tcPr>
            <w:tcW w:w="1748" w:type="dxa"/>
          </w:tcPr>
          <w:p w14:paraId="0C1FF912" w14:textId="36C8BFB3" w:rsidR="0019355B" w:rsidRPr="00487ABD" w:rsidRDefault="0019355B" w:rsidP="00F36AAD">
            <w:pPr>
              <w:jc w:val="center"/>
              <w:rPr>
                <w:b/>
                <w:bCs/>
                <w:sz w:val="22"/>
                <w:szCs w:val="22"/>
              </w:rPr>
            </w:pPr>
            <w:r w:rsidRPr="00487ABD">
              <w:rPr>
                <w:b/>
                <w:bCs/>
                <w:sz w:val="22"/>
                <w:szCs w:val="22"/>
              </w:rPr>
              <w:t>1520</w:t>
            </w:r>
            <w:r w:rsidRPr="00487ABD">
              <w:rPr>
                <w:b/>
                <w:bCs/>
                <w:sz w:val="22"/>
                <w:lang w:val="en-US"/>
              </w:rPr>
              <w:t xml:space="preserve"> (</w:t>
            </w:r>
            <w:r w:rsidRPr="00487ABD">
              <w:rPr>
                <w:b/>
                <w:bCs/>
                <w:color w:val="000000"/>
                <w:sz w:val="22"/>
                <w:szCs w:val="22"/>
              </w:rPr>
              <w:t>30.3</w:t>
            </w:r>
            <w:r w:rsidRPr="00487ABD">
              <w:rPr>
                <w:b/>
                <w:bCs/>
                <w:sz w:val="22"/>
                <w:lang w:val="en-US"/>
              </w:rPr>
              <w:t>)</w:t>
            </w:r>
          </w:p>
        </w:tc>
        <w:tc>
          <w:tcPr>
            <w:tcW w:w="1937" w:type="dxa"/>
          </w:tcPr>
          <w:p w14:paraId="16F65B93" w14:textId="62A1E144" w:rsidR="0019355B" w:rsidRPr="00487ABD" w:rsidRDefault="0019355B" w:rsidP="00F36AAD">
            <w:pPr>
              <w:jc w:val="center"/>
              <w:rPr>
                <w:b/>
                <w:bCs/>
                <w:sz w:val="22"/>
                <w:szCs w:val="22"/>
              </w:rPr>
            </w:pPr>
            <w:r w:rsidRPr="00487ABD">
              <w:rPr>
                <w:b/>
                <w:bCs/>
                <w:sz w:val="22"/>
                <w:szCs w:val="22"/>
              </w:rPr>
              <w:t>1828</w:t>
            </w:r>
            <w:r w:rsidRPr="00487ABD">
              <w:rPr>
                <w:b/>
                <w:bCs/>
                <w:sz w:val="22"/>
                <w:lang w:val="en-US"/>
              </w:rPr>
              <w:t xml:space="preserve"> (</w:t>
            </w:r>
            <w:r w:rsidRPr="00487ABD">
              <w:rPr>
                <w:b/>
                <w:bCs/>
                <w:color w:val="000000"/>
                <w:sz w:val="22"/>
                <w:szCs w:val="22"/>
              </w:rPr>
              <w:t>36.5</w:t>
            </w:r>
            <w:r w:rsidRPr="00487ABD">
              <w:rPr>
                <w:b/>
                <w:bCs/>
                <w:sz w:val="22"/>
                <w:lang w:val="en-US"/>
              </w:rPr>
              <w:t>)</w:t>
            </w:r>
          </w:p>
        </w:tc>
      </w:tr>
      <w:tr w:rsidR="00375297" w:rsidRPr="00C7791C" w14:paraId="53BD16B3" w14:textId="47A7DC03" w:rsidTr="00375297">
        <w:tc>
          <w:tcPr>
            <w:tcW w:w="2897" w:type="dxa"/>
            <w:vAlign w:val="bottom"/>
          </w:tcPr>
          <w:p w14:paraId="4E605AA1" w14:textId="0C989D6B" w:rsidR="0019355B" w:rsidRPr="00415C33" w:rsidRDefault="0019355B" w:rsidP="00F36AAD">
            <w:pPr>
              <w:ind w:left="142"/>
              <w:rPr>
                <w:sz w:val="22"/>
                <w:szCs w:val="22"/>
                <w:lang w:val="en-US"/>
              </w:rPr>
            </w:pPr>
            <w:r w:rsidRPr="007A745D">
              <w:rPr>
                <w:color w:val="000000"/>
                <w:sz w:val="22"/>
                <w:szCs w:val="22"/>
              </w:rPr>
              <w:t>Arcuate</w:t>
            </w:r>
            <w:r>
              <w:rPr>
                <w:color w:val="000000"/>
                <w:sz w:val="22"/>
                <w:szCs w:val="22"/>
              </w:rPr>
              <w:t xml:space="preserve"> f</w:t>
            </w:r>
            <w:r w:rsidRPr="007A745D">
              <w:rPr>
                <w:color w:val="000000"/>
                <w:sz w:val="22"/>
                <w:szCs w:val="22"/>
              </w:rPr>
              <w:t>asciculu</w:t>
            </w:r>
            <w:r>
              <w:rPr>
                <w:color w:val="000000"/>
                <w:sz w:val="22"/>
                <w:szCs w:val="22"/>
              </w:rPr>
              <w:t>s</w:t>
            </w:r>
          </w:p>
        </w:tc>
        <w:tc>
          <w:tcPr>
            <w:tcW w:w="1984" w:type="dxa"/>
            <w:shd w:val="clear" w:color="auto" w:fill="auto"/>
          </w:tcPr>
          <w:p w14:paraId="6181A6EE" w14:textId="515FC3A4" w:rsidR="0019355B" w:rsidRPr="00415C33" w:rsidRDefault="0019355B" w:rsidP="00F36AAD">
            <w:pPr>
              <w:jc w:val="center"/>
              <w:rPr>
                <w:sz w:val="22"/>
                <w:szCs w:val="22"/>
                <w:lang w:val="en-US"/>
              </w:rPr>
            </w:pPr>
            <w:r>
              <w:rPr>
                <w:sz w:val="22"/>
                <w:szCs w:val="22"/>
                <w:lang w:val="en-US"/>
              </w:rPr>
              <w:t>-</w:t>
            </w:r>
          </w:p>
        </w:tc>
        <w:tc>
          <w:tcPr>
            <w:tcW w:w="1751" w:type="dxa"/>
            <w:shd w:val="clear" w:color="auto" w:fill="auto"/>
          </w:tcPr>
          <w:p w14:paraId="45EDED80" w14:textId="49A852DA" w:rsidR="0019355B" w:rsidRPr="00362442" w:rsidRDefault="0019355B" w:rsidP="00F36AAD">
            <w:pPr>
              <w:jc w:val="center"/>
              <w:rPr>
                <w:sz w:val="22"/>
                <w:szCs w:val="22"/>
                <w:lang w:val="en-US"/>
              </w:rPr>
            </w:pPr>
            <w:r w:rsidRPr="003308D2">
              <w:rPr>
                <w:color w:val="000000"/>
                <w:sz w:val="22"/>
                <w:szCs w:val="22"/>
              </w:rPr>
              <w:t>550</w:t>
            </w:r>
            <w:r w:rsidRPr="003308D2">
              <w:rPr>
                <w:sz w:val="22"/>
                <w:lang w:val="en-US"/>
              </w:rPr>
              <w:t xml:space="preserve"> (</w:t>
            </w:r>
            <w:r w:rsidRPr="003308D2">
              <w:rPr>
                <w:color w:val="000000"/>
                <w:sz w:val="22"/>
                <w:szCs w:val="22"/>
              </w:rPr>
              <w:t>5.1</w:t>
            </w:r>
            <w:r w:rsidRPr="003308D2">
              <w:rPr>
                <w:sz w:val="22"/>
                <w:lang w:val="en-US"/>
              </w:rPr>
              <w:t>)</w:t>
            </w:r>
          </w:p>
        </w:tc>
        <w:tc>
          <w:tcPr>
            <w:tcW w:w="1749" w:type="dxa"/>
          </w:tcPr>
          <w:p w14:paraId="71250D8D" w14:textId="176A6A3B" w:rsidR="0019355B" w:rsidRPr="003308D2" w:rsidRDefault="0019355B" w:rsidP="00F36AAD">
            <w:pPr>
              <w:jc w:val="center"/>
              <w:rPr>
                <w:color w:val="000000"/>
                <w:sz w:val="22"/>
                <w:szCs w:val="22"/>
              </w:rPr>
            </w:pPr>
            <w:r w:rsidRPr="003308D2">
              <w:rPr>
                <w:sz w:val="22"/>
                <w:szCs w:val="22"/>
              </w:rPr>
              <w:t>347</w:t>
            </w:r>
            <w:r w:rsidRPr="003308D2">
              <w:rPr>
                <w:sz w:val="22"/>
                <w:lang w:val="en-US"/>
              </w:rPr>
              <w:t xml:space="preserve"> (</w:t>
            </w:r>
            <w:r w:rsidRPr="003308D2">
              <w:rPr>
                <w:color w:val="000000"/>
                <w:sz w:val="22"/>
                <w:szCs w:val="22"/>
              </w:rPr>
              <w:t>3.2</w:t>
            </w:r>
            <w:r w:rsidRPr="003308D2">
              <w:rPr>
                <w:sz w:val="22"/>
                <w:lang w:val="en-US"/>
              </w:rPr>
              <w:t>)</w:t>
            </w:r>
          </w:p>
        </w:tc>
        <w:tc>
          <w:tcPr>
            <w:tcW w:w="1748" w:type="dxa"/>
          </w:tcPr>
          <w:p w14:paraId="7777E1D4" w14:textId="536774FA" w:rsidR="0019355B" w:rsidRPr="003308D2" w:rsidRDefault="0019355B" w:rsidP="00F36AAD">
            <w:pPr>
              <w:jc w:val="center"/>
              <w:rPr>
                <w:sz w:val="22"/>
                <w:szCs w:val="22"/>
              </w:rPr>
            </w:pPr>
            <w:r w:rsidRPr="003308D2">
              <w:rPr>
                <w:sz w:val="22"/>
                <w:szCs w:val="22"/>
              </w:rPr>
              <w:t>417</w:t>
            </w:r>
            <w:r w:rsidRPr="003308D2">
              <w:rPr>
                <w:sz w:val="22"/>
                <w:lang w:val="en-US"/>
              </w:rPr>
              <w:t xml:space="preserve"> (</w:t>
            </w:r>
            <w:r w:rsidRPr="003308D2">
              <w:rPr>
                <w:color w:val="000000"/>
                <w:sz w:val="22"/>
                <w:szCs w:val="22"/>
              </w:rPr>
              <w:t>3.9</w:t>
            </w:r>
            <w:r w:rsidRPr="003308D2">
              <w:rPr>
                <w:sz w:val="22"/>
                <w:lang w:val="en-US"/>
              </w:rPr>
              <w:t>)</w:t>
            </w:r>
          </w:p>
        </w:tc>
        <w:tc>
          <w:tcPr>
            <w:tcW w:w="1937" w:type="dxa"/>
          </w:tcPr>
          <w:p w14:paraId="1235C87B" w14:textId="774BE13D" w:rsidR="0019355B" w:rsidRPr="003308D2" w:rsidRDefault="0019355B" w:rsidP="00F36AAD">
            <w:pPr>
              <w:jc w:val="center"/>
              <w:rPr>
                <w:sz w:val="22"/>
                <w:szCs w:val="22"/>
              </w:rPr>
            </w:pPr>
            <w:r w:rsidRPr="003308D2">
              <w:rPr>
                <w:sz w:val="22"/>
                <w:szCs w:val="22"/>
              </w:rPr>
              <w:t>635</w:t>
            </w:r>
            <w:r w:rsidRPr="003308D2">
              <w:rPr>
                <w:sz w:val="22"/>
                <w:lang w:val="en-US"/>
              </w:rPr>
              <w:t xml:space="preserve"> (</w:t>
            </w:r>
            <w:r w:rsidRPr="003308D2">
              <w:rPr>
                <w:color w:val="000000"/>
                <w:sz w:val="22"/>
                <w:szCs w:val="22"/>
              </w:rPr>
              <w:t>5.9</w:t>
            </w:r>
            <w:r w:rsidRPr="003308D2">
              <w:rPr>
                <w:sz w:val="22"/>
                <w:lang w:val="en-US"/>
              </w:rPr>
              <w:t>)</w:t>
            </w:r>
          </w:p>
        </w:tc>
      </w:tr>
    </w:tbl>
    <w:p w14:paraId="16496EC9" w14:textId="5B620C55" w:rsidR="003F1F5B" w:rsidRDefault="003F1F5B" w:rsidP="00487ABD">
      <w:pPr>
        <w:tabs>
          <w:tab w:val="left" w:pos="5667"/>
          <w:tab w:val="left" w:pos="6814"/>
        </w:tabs>
        <w:spacing w:before="80" w:after="80"/>
        <w:rPr>
          <w:sz w:val="22"/>
          <w:szCs w:val="22"/>
        </w:rPr>
      </w:pPr>
      <w:r>
        <w:rPr>
          <w:sz w:val="22"/>
          <w:szCs w:val="22"/>
        </w:rPr>
        <w:t>* The maps for these measures were identical.</w:t>
      </w:r>
    </w:p>
    <w:p w14:paraId="40A75588" w14:textId="3206ECD2" w:rsidR="00375297" w:rsidRPr="00375297" w:rsidRDefault="00375297" w:rsidP="00487ABD">
      <w:pPr>
        <w:tabs>
          <w:tab w:val="left" w:pos="5667"/>
          <w:tab w:val="left" w:pos="6814"/>
        </w:tabs>
        <w:spacing w:before="80" w:after="80"/>
        <w:rPr>
          <w:sz w:val="22"/>
          <w:szCs w:val="22"/>
        </w:rPr>
      </w:pPr>
      <w:r w:rsidRPr="00375297">
        <w:rPr>
          <w:sz w:val="22"/>
          <w:szCs w:val="22"/>
        </w:rPr>
        <w:t xml:space="preserve">IFG = </w:t>
      </w:r>
      <w:r w:rsidR="006134DA" w:rsidRPr="00375297">
        <w:rPr>
          <w:sz w:val="22"/>
          <w:szCs w:val="22"/>
        </w:rPr>
        <w:t>inferior</w:t>
      </w:r>
      <w:r w:rsidRPr="00375297">
        <w:rPr>
          <w:sz w:val="22"/>
          <w:szCs w:val="22"/>
        </w:rPr>
        <w:t xml:space="preserve"> </w:t>
      </w:r>
      <w:r w:rsidR="006134DA" w:rsidRPr="00375297">
        <w:rPr>
          <w:sz w:val="22"/>
          <w:szCs w:val="22"/>
        </w:rPr>
        <w:t>frontal</w:t>
      </w:r>
      <w:r w:rsidRPr="00375297">
        <w:rPr>
          <w:sz w:val="22"/>
          <w:szCs w:val="22"/>
        </w:rPr>
        <w:t xml:space="preserve"> gyrus; SMG -= </w:t>
      </w:r>
      <w:r w:rsidR="006134DA" w:rsidRPr="00375297">
        <w:rPr>
          <w:sz w:val="22"/>
          <w:szCs w:val="22"/>
        </w:rPr>
        <w:t>supramarginal</w:t>
      </w:r>
      <w:r w:rsidRPr="00375297">
        <w:rPr>
          <w:sz w:val="22"/>
          <w:szCs w:val="22"/>
        </w:rPr>
        <w:t xml:space="preserve"> gyrus; SLF = </w:t>
      </w:r>
      <w:r w:rsidR="006134DA" w:rsidRPr="00375297">
        <w:rPr>
          <w:sz w:val="22"/>
          <w:szCs w:val="22"/>
        </w:rPr>
        <w:t>superior</w:t>
      </w:r>
      <w:r w:rsidRPr="00375297">
        <w:rPr>
          <w:sz w:val="22"/>
          <w:szCs w:val="22"/>
        </w:rPr>
        <w:t xml:space="preserve"> longitudinal fasciculus</w:t>
      </w:r>
    </w:p>
    <w:p w14:paraId="5BF49BDD" w14:textId="77777777" w:rsidR="00375297" w:rsidRDefault="00375297" w:rsidP="00487ABD">
      <w:pPr>
        <w:tabs>
          <w:tab w:val="left" w:pos="5667"/>
          <w:tab w:val="left" w:pos="6814"/>
        </w:tabs>
        <w:spacing w:before="80" w:after="80"/>
        <w:rPr>
          <w:b/>
          <w:bCs/>
          <w:sz w:val="22"/>
          <w:szCs w:val="22"/>
        </w:rPr>
      </w:pPr>
    </w:p>
    <w:p w14:paraId="58120E47" w14:textId="646A4562" w:rsidR="004A2A69" w:rsidRDefault="00487ABD" w:rsidP="00487ABD">
      <w:pPr>
        <w:tabs>
          <w:tab w:val="left" w:pos="5667"/>
          <w:tab w:val="left" w:pos="6814"/>
        </w:tabs>
        <w:spacing w:before="80" w:after="80"/>
        <w:rPr>
          <w:b/>
          <w:bCs/>
          <w:sz w:val="22"/>
          <w:szCs w:val="22"/>
        </w:rPr>
      </w:pPr>
      <w:r>
        <w:rPr>
          <w:b/>
          <w:bCs/>
          <w:sz w:val="22"/>
          <w:szCs w:val="22"/>
        </w:rPr>
        <w:t>Table 5</w:t>
      </w:r>
    </w:p>
    <w:p w14:paraId="777A6E97" w14:textId="03C29854" w:rsidR="00487ABD" w:rsidRPr="007A43CD" w:rsidRDefault="00487ABD" w:rsidP="00487ABD">
      <w:pPr>
        <w:adjustRightInd w:val="0"/>
        <w:snapToGrid w:val="0"/>
        <w:rPr>
          <w:sz w:val="22"/>
          <w:szCs w:val="22"/>
        </w:rPr>
      </w:pPr>
      <w:r w:rsidRPr="007A43CD">
        <w:rPr>
          <w:sz w:val="22"/>
          <w:szCs w:val="22"/>
        </w:rPr>
        <w:t xml:space="preserve">Localisation of voxels reaching the threshold for statistical significance in each analysis, based on the Harvard-Oxford cortical atlas, and the HCP-1065 tractography atlas (association tracts). </w:t>
      </w:r>
      <w:r w:rsidR="0019355B">
        <w:rPr>
          <w:sz w:val="22"/>
          <w:szCs w:val="22"/>
        </w:rPr>
        <w:t xml:space="preserve">Titles that combined two measures separates by a slash indicate that the maps for those two measures were identical. </w:t>
      </w:r>
      <w:r w:rsidR="00E63B18">
        <w:rPr>
          <w:sz w:val="22"/>
          <w:szCs w:val="22"/>
        </w:rPr>
        <w:t xml:space="preserve">The table presents the total number of </w:t>
      </w:r>
      <w:r w:rsidR="00E43965">
        <w:rPr>
          <w:sz w:val="22"/>
          <w:szCs w:val="22"/>
        </w:rPr>
        <w:t>voxels</w:t>
      </w:r>
      <w:r w:rsidR="00E63B18">
        <w:rPr>
          <w:sz w:val="22"/>
          <w:szCs w:val="22"/>
        </w:rPr>
        <w:t xml:space="preserve"> in the statistical map that overlapped with </w:t>
      </w:r>
      <w:r w:rsidR="006228D3">
        <w:rPr>
          <w:sz w:val="22"/>
          <w:szCs w:val="22"/>
        </w:rPr>
        <w:t>each</w:t>
      </w:r>
      <w:r w:rsidR="00E63B18">
        <w:rPr>
          <w:sz w:val="22"/>
          <w:szCs w:val="22"/>
        </w:rPr>
        <w:t xml:space="preserve"> </w:t>
      </w:r>
      <w:r w:rsidR="006228D3">
        <w:rPr>
          <w:sz w:val="22"/>
          <w:szCs w:val="22"/>
        </w:rPr>
        <w:t>territory</w:t>
      </w:r>
      <w:r w:rsidR="00E63B18">
        <w:rPr>
          <w:sz w:val="22"/>
          <w:szCs w:val="22"/>
        </w:rPr>
        <w:t xml:space="preserve">. The figures in </w:t>
      </w:r>
      <w:r w:rsidR="00E43965">
        <w:rPr>
          <w:sz w:val="22"/>
          <w:szCs w:val="22"/>
        </w:rPr>
        <w:t>parentheses</w:t>
      </w:r>
      <w:r w:rsidR="00E63B18">
        <w:rPr>
          <w:sz w:val="22"/>
          <w:szCs w:val="22"/>
        </w:rPr>
        <w:t xml:space="preserve"> </w:t>
      </w:r>
      <w:r w:rsidR="006228D3">
        <w:rPr>
          <w:sz w:val="22"/>
          <w:szCs w:val="22"/>
        </w:rPr>
        <w:t>express these figure</w:t>
      </w:r>
      <w:r w:rsidR="00E63B18">
        <w:rPr>
          <w:sz w:val="22"/>
          <w:szCs w:val="22"/>
        </w:rPr>
        <w:t xml:space="preserve"> as a percentage of the total voxels submitted to analysis</w:t>
      </w:r>
      <w:r w:rsidR="006228D3">
        <w:rPr>
          <w:sz w:val="22"/>
          <w:szCs w:val="22"/>
        </w:rPr>
        <w:t xml:space="preserve"> for that region</w:t>
      </w:r>
      <w:r w:rsidR="00E63B18">
        <w:rPr>
          <w:sz w:val="22"/>
          <w:szCs w:val="22"/>
        </w:rPr>
        <w:t xml:space="preserve">. </w:t>
      </w:r>
      <w:r w:rsidRPr="007A43CD">
        <w:rPr>
          <w:sz w:val="22"/>
          <w:szCs w:val="22"/>
        </w:rPr>
        <w:t xml:space="preserve">Regions where fewer than 200 voxels reached threshold are not shown. </w:t>
      </w:r>
      <w:r w:rsidR="005950FB">
        <w:rPr>
          <w:sz w:val="22"/>
          <w:szCs w:val="22"/>
        </w:rPr>
        <w:t xml:space="preserve"> Figure</w:t>
      </w:r>
      <w:r w:rsidR="009B5295">
        <w:rPr>
          <w:sz w:val="22"/>
          <w:szCs w:val="22"/>
        </w:rPr>
        <w:t xml:space="preserve"> in bold are regions </w:t>
      </w:r>
      <w:r w:rsidR="005950FB">
        <w:rPr>
          <w:sz w:val="22"/>
          <w:szCs w:val="22"/>
        </w:rPr>
        <w:t>containing</w:t>
      </w:r>
      <w:r w:rsidR="009B5295">
        <w:rPr>
          <w:sz w:val="22"/>
          <w:szCs w:val="22"/>
        </w:rPr>
        <w:t xml:space="preserve"> a </w:t>
      </w:r>
      <w:r w:rsidR="005950FB">
        <w:rPr>
          <w:sz w:val="22"/>
          <w:szCs w:val="22"/>
        </w:rPr>
        <w:t>minimum</w:t>
      </w:r>
      <w:r w:rsidR="009B5295">
        <w:rPr>
          <w:sz w:val="22"/>
          <w:szCs w:val="22"/>
        </w:rPr>
        <w:t xml:space="preserve"> of </w:t>
      </w:r>
      <w:r w:rsidR="005950FB">
        <w:rPr>
          <w:sz w:val="22"/>
          <w:szCs w:val="22"/>
        </w:rPr>
        <w:t xml:space="preserve">1,000 voxels for that map, and that implicated at least 15% of the voxels submitted to analysis for that region. </w:t>
      </w:r>
      <w:r w:rsidRPr="007A43CD">
        <w:rPr>
          <w:sz w:val="22"/>
          <w:szCs w:val="22"/>
        </w:rPr>
        <w:t xml:space="preserve"> </w:t>
      </w:r>
      <w:r w:rsidR="006228D3" w:rsidRPr="007A43CD">
        <w:rPr>
          <w:sz w:val="22"/>
          <w:szCs w:val="22"/>
        </w:rPr>
        <w:t>All voxels were located within the left hemisphere.</w:t>
      </w:r>
      <w:r w:rsidR="006228D3">
        <w:rPr>
          <w:sz w:val="22"/>
          <w:szCs w:val="22"/>
        </w:rPr>
        <w:t xml:space="preserve"> </w:t>
      </w:r>
      <w:r w:rsidRPr="007A43CD">
        <w:rPr>
          <w:sz w:val="22"/>
          <w:szCs w:val="22"/>
        </w:rPr>
        <w:t>The value of v used in the CFWER correction method was 5.</w:t>
      </w:r>
    </w:p>
    <w:p w14:paraId="71E3139E" w14:textId="77777777" w:rsidR="00487ABD" w:rsidRPr="00C7791C" w:rsidRDefault="00487ABD" w:rsidP="005950FB">
      <w:pPr>
        <w:tabs>
          <w:tab w:val="left" w:pos="5667"/>
          <w:tab w:val="left" w:pos="6814"/>
        </w:tabs>
        <w:spacing w:before="80" w:after="80"/>
        <w:ind w:left="108"/>
        <w:rPr>
          <w:b/>
          <w:bCs/>
          <w:sz w:val="22"/>
          <w:szCs w:val="22"/>
        </w:rPr>
      </w:pPr>
    </w:p>
    <w:p w14:paraId="51179738" w14:textId="77777777" w:rsidR="00914295" w:rsidRDefault="00914295" w:rsidP="00742A40">
      <w:pPr>
        <w:spacing w:after="160" w:line="259" w:lineRule="auto"/>
        <w:ind w:firstLine="720"/>
        <w:rPr>
          <w:i/>
          <w:iCs/>
        </w:rPr>
        <w:sectPr w:rsidR="00914295" w:rsidSect="00914295">
          <w:pgSz w:w="16838" w:h="11906" w:orient="landscape"/>
          <w:pgMar w:top="1134" w:right="1134" w:bottom="1134" w:left="1134" w:header="708" w:footer="708" w:gutter="0"/>
          <w:cols w:space="708"/>
          <w:docGrid w:linePitch="360"/>
        </w:sectPr>
      </w:pPr>
    </w:p>
    <w:p w14:paraId="01D6EA24" w14:textId="77777777" w:rsidR="00742A40" w:rsidRDefault="00742A40" w:rsidP="00742A40">
      <w:pPr>
        <w:jc w:val="right"/>
        <w:rPr>
          <w:i/>
          <w:iCs/>
        </w:rPr>
      </w:pPr>
    </w:p>
    <w:p w14:paraId="7B64B953" w14:textId="1A58D11B" w:rsidR="00757655" w:rsidRDefault="006228D3" w:rsidP="00785157">
      <w:pPr>
        <w:spacing w:line="480" w:lineRule="auto"/>
        <w:rPr>
          <w:bCs/>
          <w:lang w:val="en-GB"/>
        </w:rPr>
      </w:pPr>
      <w:r>
        <w:rPr>
          <w:bCs/>
          <w:lang w:val="en-GB"/>
        </w:rPr>
        <w:t xml:space="preserve">portions of </w:t>
      </w:r>
      <w:r w:rsidR="00073C23">
        <w:rPr>
          <w:bCs/>
          <w:lang w:val="en-GB"/>
        </w:rPr>
        <w:t>the</w:t>
      </w:r>
      <w:r w:rsidR="00E016A3" w:rsidRPr="009B26A2">
        <w:rPr>
          <w:bCs/>
          <w:lang w:val="en-GB"/>
        </w:rPr>
        <w:t xml:space="preserve"> insular cortex, the central operculum, </w:t>
      </w:r>
      <w:r w:rsidR="00EA1BD4">
        <w:rPr>
          <w:bCs/>
          <w:lang w:val="en-GB"/>
        </w:rPr>
        <w:t xml:space="preserve">and </w:t>
      </w:r>
      <w:r w:rsidR="00E016A3" w:rsidRPr="009B26A2">
        <w:rPr>
          <w:bCs/>
          <w:lang w:val="en-GB"/>
        </w:rPr>
        <w:t xml:space="preserve">the postcentral gyrus. </w:t>
      </w:r>
      <w:r w:rsidR="009148CB" w:rsidRPr="000E252B">
        <w:rPr>
          <w:bCs/>
          <w:lang w:val="en-GB"/>
        </w:rPr>
        <w:t xml:space="preserve">With respect to white matter </w:t>
      </w:r>
      <w:r w:rsidR="005B2D13" w:rsidRPr="000E252B">
        <w:rPr>
          <w:bCs/>
          <w:lang w:val="en-GB"/>
        </w:rPr>
        <w:t>territories</w:t>
      </w:r>
      <w:r w:rsidR="009148CB" w:rsidRPr="000E252B">
        <w:rPr>
          <w:bCs/>
          <w:lang w:val="en-GB"/>
        </w:rPr>
        <w:t xml:space="preserve">, there was </w:t>
      </w:r>
      <w:r w:rsidR="00A671C1" w:rsidRPr="000E252B">
        <w:rPr>
          <w:bCs/>
          <w:lang w:val="en-GB"/>
        </w:rPr>
        <w:t>substantial</w:t>
      </w:r>
      <w:r w:rsidR="00824F7A" w:rsidRPr="000E252B">
        <w:rPr>
          <w:bCs/>
          <w:lang w:val="en-GB"/>
        </w:rPr>
        <w:t xml:space="preserve"> encroachment into th</w:t>
      </w:r>
      <w:r w:rsidR="003B58C9">
        <w:rPr>
          <w:bCs/>
          <w:lang w:val="en-GB"/>
        </w:rPr>
        <w:t xml:space="preserve">e </w:t>
      </w:r>
      <w:r w:rsidR="00807855">
        <w:rPr>
          <w:bCs/>
          <w:lang w:val="en-GB"/>
        </w:rPr>
        <w:t>territory</w:t>
      </w:r>
      <w:r w:rsidR="00824F7A" w:rsidRPr="000E252B">
        <w:rPr>
          <w:bCs/>
          <w:lang w:val="en-GB"/>
        </w:rPr>
        <w:t xml:space="preserve"> of </w:t>
      </w:r>
      <w:r w:rsidR="009148CB" w:rsidRPr="000E252B">
        <w:rPr>
          <w:bCs/>
          <w:lang w:val="en-GB"/>
        </w:rPr>
        <w:t>the frontal aslant trac</w:t>
      </w:r>
      <w:r w:rsidR="00073C23">
        <w:rPr>
          <w:bCs/>
          <w:lang w:val="en-GB"/>
        </w:rPr>
        <w:t>t</w:t>
      </w:r>
      <w:r w:rsidR="00657E74" w:rsidRPr="000E252B">
        <w:rPr>
          <w:bCs/>
          <w:lang w:val="en-GB"/>
        </w:rPr>
        <w:t xml:space="preserve"> and the </w:t>
      </w:r>
      <w:r w:rsidR="008D3DF0">
        <w:rPr>
          <w:bCs/>
          <w:lang w:val="en-GB"/>
        </w:rPr>
        <w:t xml:space="preserve">superior </w:t>
      </w:r>
      <w:r w:rsidR="004126E5">
        <w:rPr>
          <w:bCs/>
          <w:lang w:val="en-GB"/>
        </w:rPr>
        <w:t>longitudinal</w:t>
      </w:r>
      <w:r w:rsidR="008D3DF0">
        <w:rPr>
          <w:bCs/>
          <w:lang w:val="en-GB"/>
        </w:rPr>
        <w:t xml:space="preserve"> </w:t>
      </w:r>
      <w:r w:rsidR="00977B71">
        <w:rPr>
          <w:bCs/>
          <w:lang w:val="en-GB"/>
        </w:rPr>
        <w:t>fascicul</w:t>
      </w:r>
      <w:r w:rsidR="008937E6">
        <w:rPr>
          <w:bCs/>
          <w:lang w:val="en-GB"/>
        </w:rPr>
        <w:t>us</w:t>
      </w:r>
      <w:r w:rsidR="003B58C9">
        <w:rPr>
          <w:bCs/>
          <w:lang w:val="en-GB"/>
        </w:rPr>
        <w:t xml:space="preserve"> </w:t>
      </w:r>
      <w:r w:rsidR="008D3DF0">
        <w:rPr>
          <w:bCs/>
          <w:lang w:val="en-GB"/>
        </w:rPr>
        <w:t>(</w:t>
      </w:r>
      <w:r w:rsidR="00073C23">
        <w:rPr>
          <w:bCs/>
          <w:lang w:val="en-GB"/>
        </w:rPr>
        <w:t>bundle 3</w:t>
      </w:r>
      <w:r w:rsidR="008D3DF0">
        <w:rPr>
          <w:bCs/>
          <w:lang w:val="en-GB"/>
        </w:rPr>
        <w:t>).</w:t>
      </w:r>
    </w:p>
    <w:p w14:paraId="0F43D327" w14:textId="20337032" w:rsidR="004A1E67" w:rsidRDefault="002C7746" w:rsidP="004A1E67">
      <w:pPr>
        <w:spacing w:line="480" w:lineRule="auto"/>
        <w:ind w:firstLine="720"/>
        <w:rPr>
          <w:bCs/>
          <w:lang w:val="en-GB"/>
        </w:rPr>
      </w:pPr>
      <w:r>
        <w:rPr>
          <w:b/>
          <w:lang w:val="en-GB"/>
        </w:rPr>
        <w:t xml:space="preserve">3.2.4. </w:t>
      </w:r>
      <w:r w:rsidR="006228D3">
        <w:rPr>
          <w:b/>
          <w:lang w:val="en-GB"/>
        </w:rPr>
        <w:t>Exploring</w:t>
      </w:r>
      <w:r w:rsidR="00724287">
        <w:rPr>
          <w:b/>
          <w:lang w:val="en-GB"/>
        </w:rPr>
        <w:t xml:space="preserve"> </w:t>
      </w:r>
      <w:r w:rsidR="00C16411">
        <w:rPr>
          <w:b/>
          <w:lang w:val="en-GB"/>
        </w:rPr>
        <w:t>indices of</w:t>
      </w:r>
      <w:r w:rsidR="00724287">
        <w:rPr>
          <w:b/>
          <w:lang w:val="en-GB"/>
        </w:rPr>
        <w:t xml:space="preserve"> “posterior” </w:t>
      </w:r>
      <w:r w:rsidR="006228D3">
        <w:rPr>
          <w:b/>
          <w:lang w:val="en-GB"/>
        </w:rPr>
        <w:t>aphasia</w:t>
      </w:r>
      <w:r w:rsidR="00724287">
        <w:rPr>
          <w:bCs/>
          <w:lang w:val="en-GB"/>
        </w:rPr>
        <w:t xml:space="preserve">. </w:t>
      </w:r>
      <w:r w:rsidR="00905BAF">
        <w:rPr>
          <w:bCs/>
          <w:lang w:val="en-GB"/>
        </w:rPr>
        <w:t>A</w:t>
      </w:r>
      <w:r w:rsidR="006228D3">
        <w:rPr>
          <w:bCs/>
          <w:lang w:val="en-GB"/>
        </w:rPr>
        <w:t>ll of</w:t>
      </w:r>
      <w:r w:rsidR="00724287">
        <w:rPr>
          <w:bCs/>
          <w:lang w:val="en-GB"/>
        </w:rPr>
        <w:t xml:space="preserve"> </w:t>
      </w:r>
      <w:r w:rsidR="00905BAF">
        <w:rPr>
          <w:bCs/>
          <w:lang w:val="en-GB"/>
        </w:rPr>
        <w:t>our key</w:t>
      </w:r>
      <w:r w:rsidR="00724287" w:rsidRPr="005230ED">
        <w:rPr>
          <w:bCs/>
          <w:lang w:val="en-GB"/>
        </w:rPr>
        <w:t xml:space="preserve"> behaviour</w:t>
      </w:r>
      <w:r w:rsidR="00724287">
        <w:rPr>
          <w:bCs/>
          <w:lang w:val="en-GB"/>
        </w:rPr>
        <w:t>al</w:t>
      </w:r>
      <w:r w:rsidR="00724287" w:rsidRPr="005230ED">
        <w:rPr>
          <w:bCs/>
          <w:lang w:val="en-GB"/>
        </w:rPr>
        <w:t xml:space="preserve"> measures we have examined </w:t>
      </w:r>
      <w:r w:rsidR="00724287">
        <w:rPr>
          <w:bCs/>
          <w:lang w:val="en-GB"/>
        </w:rPr>
        <w:t>are those</w:t>
      </w:r>
      <w:r w:rsidR="00724287" w:rsidRPr="005230ED">
        <w:rPr>
          <w:bCs/>
          <w:lang w:val="en-GB"/>
        </w:rPr>
        <w:t xml:space="preserve"> associated with nonfluent aphasia</w:t>
      </w:r>
      <w:r w:rsidR="004A1E67">
        <w:rPr>
          <w:bCs/>
          <w:lang w:val="en-GB"/>
        </w:rPr>
        <w:t xml:space="preserve"> or with </w:t>
      </w:r>
      <w:r w:rsidR="00E43965">
        <w:rPr>
          <w:bCs/>
          <w:lang w:val="en-GB"/>
        </w:rPr>
        <w:t>anterior</w:t>
      </w:r>
      <w:r w:rsidR="004A1E67">
        <w:rPr>
          <w:bCs/>
          <w:lang w:val="en-GB"/>
        </w:rPr>
        <w:t xml:space="preserve"> language </w:t>
      </w:r>
      <w:r w:rsidR="00E43965">
        <w:rPr>
          <w:bCs/>
          <w:lang w:val="en-GB"/>
        </w:rPr>
        <w:t>structures</w:t>
      </w:r>
      <w:r w:rsidR="00724287" w:rsidRPr="005230ED">
        <w:rPr>
          <w:bCs/>
          <w:lang w:val="en-GB"/>
        </w:rPr>
        <w:t xml:space="preserve">. </w:t>
      </w:r>
      <w:r w:rsidR="00724287">
        <w:rPr>
          <w:bCs/>
          <w:lang w:val="en-GB"/>
        </w:rPr>
        <w:t xml:space="preserve">Our observations would support stronger conclusions if we were able to show that measures </w:t>
      </w:r>
      <w:r w:rsidR="00506208">
        <w:rPr>
          <w:bCs/>
          <w:lang w:val="en-GB"/>
        </w:rPr>
        <w:t>predicted</w:t>
      </w:r>
      <w:r w:rsidR="00905BAF">
        <w:rPr>
          <w:bCs/>
          <w:lang w:val="en-GB"/>
        </w:rPr>
        <w:t xml:space="preserve"> to involve more posterior regions</w:t>
      </w:r>
      <w:r w:rsidR="00724287">
        <w:rPr>
          <w:bCs/>
          <w:lang w:val="en-GB"/>
        </w:rPr>
        <w:t xml:space="preserve"> yield</w:t>
      </w:r>
      <w:r w:rsidR="004A1E67">
        <w:rPr>
          <w:bCs/>
          <w:lang w:val="en-GB"/>
        </w:rPr>
        <w:t>ed</w:t>
      </w:r>
      <w:r w:rsidR="00724287">
        <w:rPr>
          <w:bCs/>
          <w:lang w:val="en-GB"/>
        </w:rPr>
        <w:t xml:space="preserve"> distinctly different lesion maps. To </w:t>
      </w:r>
      <w:r w:rsidR="004A1E67">
        <w:rPr>
          <w:bCs/>
          <w:lang w:val="en-GB"/>
        </w:rPr>
        <w:t>address this question</w:t>
      </w:r>
      <w:r w:rsidR="00724287">
        <w:rPr>
          <w:bCs/>
          <w:lang w:val="en-GB"/>
        </w:rPr>
        <w:t xml:space="preserve">, we examined the </w:t>
      </w:r>
      <w:r w:rsidR="00E43965">
        <w:rPr>
          <w:bCs/>
          <w:lang w:val="en-GB"/>
        </w:rPr>
        <w:t>statistical</w:t>
      </w:r>
      <w:r w:rsidR="00724287">
        <w:rPr>
          <w:bCs/>
          <w:lang w:val="en-GB"/>
        </w:rPr>
        <w:t xml:space="preserve"> maps </w:t>
      </w:r>
      <w:r w:rsidR="00E43965">
        <w:rPr>
          <w:bCs/>
          <w:lang w:val="en-GB"/>
        </w:rPr>
        <w:t>associated</w:t>
      </w:r>
      <w:r w:rsidR="00724287">
        <w:rPr>
          <w:bCs/>
          <w:lang w:val="en-GB"/>
        </w:rPr>
        <w:t xml:space="preserve"> with two </w:t>
      </w:r>
      <w:r w:rsidR="00E43965">
        <w:rPr>
          <w:bCs/>
          <w:lang w:val="en-GB"/>
        </w:rPr>
        <w:t>behavioural</w:t>
      </w:r>
      <w:r w:rsidR="00724287">
        <w:rPr>
          <w:bCs/>
          <w:lang w:val="en-GB"/>
        </w:rPr>
        <w:t xml:space="preserve"> </w:t>
      </w:r>
      <w:r w:rsidR="00E43965">
        <w:rPr>
          <w:bCs/>
          <w:lang w:val="en-GB"/>
        </w:rPr>
        <w:t>indices</w:t>
      </w:r>
      <w:r w:rsidR="00724287">
        <w:rPr>
          <w:bCs/>
          <w:lang w:val="en-GB"/>
        </w:rPr>
        <w:t xml:space="preserve"> that have been </w:t>
      </w:r>
      <w:r w:rsidR="00E43965">
        <w:rPr>
          <w:bCs/>
          <w:lang w:val="en-GB"/>
        </w:rPr>
        <w:t>previously</w:t>
      </w:r>
      <w:r w:rsidR="00724287">
        <w:rPr>
          <w:bCs/>
          <w:lang w:val="en-GB"/>
        </w:rPr>
        <w:t xml:space="preserve"> </w:t>
      </w:r>
      <w:r w:rsidR="00E43965">
        <w:rPr>
          <w:bCs/>
          <w:lang w:val="en-GB"/>
        </w:rPr>
        <w:t>associated</w:t>
      </w:r>
      <w:r w:rsidR="00724287">
        <w:rPr>
          <w:bCs/>
          <w:lang w:val="en-GB"/>
        </w:rPr>
        <w:t xml:space="preserve"> with </w:t>
      </w:r>
      <w:r w:rsidR="006228D3">
        <w:rPr>
          <w:bCs/>
          <w:lang w:val="en-GB"/>
        </w:rPr>
        <w:t xml:space="preserve">damage to </w:t>
      </w:r>
      <w:r w:rsidR="00724287">
        <w:rPr>
          <w:bCs/>
          <w:lang w:val="en-GB"/>
        </w:rPr>
        <w:t xml:space="preserve">left </w:t>
      </w:r>
      <w:r w:rsidR="00E43965">
        <w:rPr>
          <w:bCs/>
          <w:lang w:val="en-GB"/>
        </w:rPr>
        <w:t>posterior</w:t>
      </w:r>
      <w:r w:rsidR="00724287">
        <w:rPr>
          <w:bCs/>
          <w:lang w:val="en-GB"/>
        </w:rPr>
        <w:t xml:space="preserve"> </w:t>
      </w:r>
      <w:r w:rsidR="00E43965">
        <w:rPr>
          <w:bCs/>
          <w:lang w:val="en-GB"/>
        </w:rPr>
        <w:t>language</w:t>
      </w:r>
      <w:r w:rsidR="00724287">
        <w:rPr>
          <w:bCs/>
          <w:lang w:val="en-GB"/>
        </w:rPr>
        <w:t xml:space="preserve"> structures. Speer and Wilshire </w:t>
      </w:r>
      <w:r w:rsidR="006228D3">
        <w:rPr>
          <w:bCs/>
          <w:lang w:val="en-GB"/>
        </w:rPr>
        <w:t xml:space="preserve">(2013) </w:t>
      </w:r>
      <w:r w:rsidR="00724287">
        <w:rPr>
          <w:bCs/>
          <w:lang w:val="en-GB"/>
        </w:rPr>
        <w:t xml:space="preserve">found that several of their </w:t>
      </w:r>
      <w:r w:rsidR="00E016A3">
        <w:rPr>
          <w:bCs/>
          <w:lang w:val="en-GB"/>
        </w:rPr>
        <w:t xml:space="preserve">participants with more posterior lesions actually showed a </w:t>
      </w:r>
      <w:r w:rsidR="00F74455">
        <w:rPr>
          <w:bCs/>
          <w:lang w:val="en-GB"/>
        </w:rPr>
        <w:t>semantic</w:t>
      </w:r>
      <w:r w:rsidR="00E016A3">
        <w:rPr>
          <w:bCs/>
          <w:lang w:val="en-GB"/>
        </w:rPr>
        <w:t xml:space="preserve"> </w:t>
      </w:r>
      <w:r w:rsidR="00F74455" w:rsidRPr="00084C98">
        <w:rPr>
          <w:bCs/>
          <w:lang w:val="en-GB"/>
        </w:rPr>
        <w:t>facilitation</w:t>
      </w:r>
      <w:r w:rsidR="00E016A3">
        <w:rPr>
          <w:bCs/>
          <w:lang w:val="en-GB"/>
        </w:rPr>
        <w:t xml:space="preserve"> effect</w:t>
      </w:r>
      <w:r w:rsidR="00724287">
        <w:rPr>
          <w:bCs/>
          <w:lang w:val="en-GB"/>
        </w:rPr>
        <w:t xml:space="preserve"> in sentence </w:t>
      </w:r>
      <w:r w:rsidR="00E43965">
        <w:rPr>
          <w:bCs/>
          <w:lang w:val="en-GB"/>
        </w:rPr>
        <w:t>production</w:t>
      </w:r>
      <w:r w:rsidR="00084C98">
        <w:rPr>
          <w:bCs/>
          <w:lang w:val="en-GB"/>
        </w:rPr>
        <w:t xml:space="preserve"> </w:t>
      </w:r>
      <w:r w:rsidR="006228D3">
        <w:rPr>
          <w:bCs/>
          <w:lang w:val="en-GB"/>
        </w:rPr>
        <w:t>–</w:t>
      </w:r>
      <w:r w:rsidR="00E016A3">
        <w:rPr>
          <w:bCs/>
          <w:lang w:val="en-GB"/>
        </w:rPr>
        <w:t xml:space="preserve"> </w:t>
      </w:r>
      <w:r w:rsidR="006228D3">
        <w:rPr>
          <w:bCs/>
          <w:lang w:val="en-GB"/>
        </w:rPr>
        <w:t xml:space="preserve">that is, </w:t>
      </w:r>
      <w:r w:rsidR="00E016A3">
        <w:rPr>
          <w:bCs/>
          <w:lang w:val="en-GB"/>
        </w:rPr>
        <w:t xml:space="preserve">they performed </w:t>
      </w:r>
      <w:r w:rsidR="00E016A3" w:rsidRPr="00EA498E">
        <w:rPr>
          <w:bCs/>
          <w:i/>
          <w:iCs/>
          <w:lang w:val="en-GB"/>
        </w:rPr>
        <w:t>more</w:t>
      </w:r>
      <w:r w:rsidR="00E016A3">
        <w:rPr>
          <w:bCs/>
          <w:lang w:val="en-GB"/>
        </w:rPr>
        <w:t xml:space="preserve"> </w:t>
      </w:r>
      <w:r w:rsidR="00F74455">
        <w:rPr>
          <w:bCs/>
          <w:lang w:val="en-GB"/>
        </w:rPr>
        <w:t>accurate</w:t>
      </w:r>
      <w:r w:rsidR="00572FAA">
        <w:rPr>
          <w:bCs/>
          <w:lang w:val="en-GB"/>
        </w:rPr>
        <w:t>ly</w:t>
      </w:r>
      <w:r w:rsidR="00E016A3">
        <w:rPr>
          <w:bCs/>
          <w:lang w:val="en-GB"/>
        </w:rPr>
        <w:t xml:space="preserve"> on sentences containing semantically related nouns</w:t>
      </w:r>
      <w:r w:rsidR="00724287">
        <w:rPr>
          <w:bCs/>
          <w:lang w:val="en-GB"/>
        </w:rPr>
        <w:t xml:space="preserve"> than on </w:t>
      </w:r>
      <w:r w:rsidR="00E43965">
        <w:rPr>
          <w:bCs/>
          <w:lang w:val="en-GB"/>
        </w:rPr>
        <w:t>those</w:t>
      </w:r>
      <w:r w:rsidR="00724287">
        <w:rPr>
          <w:bCs/>
          <w:lang w:val="en-GB"/>
        </w:rPr>
        <w:t xml:space="preserve"> </w:t>
      </w:r>
      <w:r w:rsidR="00E43965">
        <w:rPr>
          <w:bCs/>
          <w:lang w:val="en-GB"/>
        </w:rPr>
        <w:t>containing</w:t>
      </w:r>
      <w:r w:rsidR="00724287">
        <w:rPr>
          <w:bCs/>
          <w:lang w:val="en-GB"/>
        </w:rPr>
        <w:t xml:space="preserve"> unrelated nouns</w:t>
      </w:r>
      <w:r w:rsidR="00E016A3">
        <w:rPr>
          <w:bCs/>
          <w:lang w:val="en-GB"/>
        </w:rPr>
        <w:t xml:space="preserve">. </w:t>
      </w:r>
      <w:r w:rsidR="004A1E67">
        <w:rPr>
          <w:lang w:val="en-AU"/>
        </w:rPr>
        <w:t xml:space="preserve">We created an index of this semantic </w:t>
      </w:r>
      <w:r w:rsidR="00E43965">
        <w:rPr>
          <w:lang w:val="en-AU"/>
        </w:rPr>
        <w:t>facilitation</w:t>
      </w:r>
      <w:r w:rsidR="004A1E67">
        <w:rPr>
          <w:lang w:val="en-AU"/>
        </w:rPr>
        <w:t xml:space="preserve"> effect by </w:t>
      </w:r>
      <w:r w:rsidR="00E43965">
        <w:rPr>
          <w:lang w:val="en-AU"/>
        </w:rPr>
        <w:t>calculating</w:t>
      </w:r>
      <w:r w:rsidR="004A1E67">
        <w:rPr>
          <w:lang w:val="en-AU"/>
        </w:rPr>
        <w:t xml:space="preserve"> the inverse of the values for the semantic relatedness effect. </w:t>
      </w:r>
      <w:r w:rsidR="004A1E67">
        <w:rPr>
          <w:bCs/>
          <w:lang w:val="en-GB"/>
        </w:rPr>
        <w:t xml:space="preserve">Table S4 summarises the </w:t>
      </w:r>
      <w:r w:rsidR="00E43965">
        <w:rPr>
          <w:bCs/>
          <w:lang w:val="en-GB"/>
        </w:rPr>
        <w:t>localisation</w:t>
      </w:r>
      <w:r w:rsidR="004A1E67">
        <w:rPr>
          <w:bCs/>
          <w:lang w:val="en-GB"/>
        </w:rPr>
        <w:t xml:space="preserve"> of voxels </w:t>
      </w:r>
      <w:r w:rsidR="00E43965">
        <w:rPr>
          <w:bCs/>
          <w:lang w:val="en-GB"/>
        </w:rPr>
        <w:t>that</w:t>
      </w:r>
      <w:r w:rsidR="004A1E67">
        <w:rPr>
          <w:bCs/>
          <w:lang w:val="en-GB"/>
        </w:rPr>
        <w:t xml:space="preserve"> were </w:t>
      </w:r>
      <w:r w:rsidR="00E43965">
        <w:rPr>
          <w:bCs/>
          <w:lang w:val="en-GB"/>
        </w:rPr>
        <w:t>significantly</w:t>
      </w:r>
      <w:r w:rsidR="004A1E67">
        <w:rPr>
          <w:bCs/>
          <w:lang w:val="en-GB"/>
        </w:rPr>
        <w:t xml:space="preserve"> </w:t>
      </w:r>
      <w:r w:rsidR="00E43965">
        <w:rPr>
          <w:bCs/>
          <w:lang w:val="en-GB"/>
        </w:rPr>
        <w:t>associated</w:t>
      </w:r>
      <w:r w:rsidR="004A1E67">
        <w:rPr>
          <w:bCs/>
          <w:lang w:val="en-GB"/>
        </w:rPr>
        <w:t xml:space="preserve"> with this effect, after </w:t>
      </w:r>
      <w:r w:rsidR="004A1E67" w:rsidRPr="0044401C">
        <w:rPr>
          <w:bCs/>
          <w:lang w:val="en-GB"/>
        </w:rPr>
        <w:t xml:space="preserve">CFWER correction based on </w:t>
      </w:r>
      <w:r w:rsidR="004A1E67" w:rsidRPr="008F7F1C">
        <w:rPr>
          <w:bCs/>
          <w:i/>
          <w:iCs/>
          <w:lang w:val="en-GB"/>
        </w:rPr>
        <w:t>v </w:t>
      </w:r>
      <w:r w:rsidR="004A1E67" w:rsidRPr="0044401C">
        <w:rPr>
          <w:bCs/>
          <w:lang w:val="en-GB"/>
        </w:rPr>
        <w:t>= </w:t>
      </w:r>
      <w:r w:rsidR="004A1E67">
        <w:rPr>
          <w:bCs/>
          <w:lang w:val="en-GB"/>
        </w:rPr>
        <w:t xml:space="preserve">5. The majority of significant voxels were located within the temporooccipital part of the middle temporal gyrus, and there was some </w:t>
      </w:r>
      <w:r w:rsidR="004A1E67" w:rsidRPr="00EA5D63">
        <w:rPr>
          <w:bCs/>
          <w:lang w:val="en-GB"/>
        </w:rPr>
        <w:t xml:space="preserve">overlap with the territories of the arcuate fasciculus and the </w:t>
      </w:r>
      <w:r w:rsidR="004A1E67">
        <w:rPr>
          <w:color w:val="000000"/>
        </w:rPr>
        <w:t>i</w:t>
      </w:r>
      <w:r w:rsidR="004A1E67" w:rsidRPr="00EA5D63">
        <w:rPr>
          <w:color w:val="000000"/>
        </w:rPr>
        <w:t>nferior longitudinal fasciculus</w:t>
      </w:r>
      <w:r w:rsidR="004A1E67">
        <w:rPr>
          <w:bCs/>
          <w:lang w:val="en-GB"/>
        </w:rPr>
        <w:t xml:space="preserve">. </w:t>
      </w:r>
    </w:p>
    <w:p w14:paraId="3B9B7C54" w14:textId="72362383" w:rsidR="005230ED" w:rsidRDefault="004A1E67" w:rsidP="004A1E67">
      <w:pPr>
        <w:spacing w:line="480" w:lineRule="auto"/>
        <w:ind w:firstLine="720"/>
        <w:rPr>
          <w:lang w:val="en-AU"/>
        </w:rPr>
      </w:pPr>
      <w:r>
        <w:rPr>
          <w:lang w:val="en-AU"/>
        </w:rPr>
        <w:t xml:space="preserve">To examine an </w:t>
      </w:r>
      <w:r w:rsidR="00E43965">
        <w:rPr>
          <w:lang w:val="en-AU"/>
        </w:rPr>
        <w:t>alternative</w:t>
      </w:r>
      <w:r>
        <w:rPr>
          <w:lang w:val="en-AU"/>
        </w:rPr>
        <w:t xml:space="preserve"> “</w:t>
      </w:r>
      <w:r w:rsidR="00E43965">
        <w:rPr>
          <w:lang w:val="en-AU"/>
        </w:rPr>
        <w:t>posterior</w:t>
      </w:r>
      <w:r>
        <w:rPr>
          <w:lang w:val="en-AU"/>
        </w:rPr>
        <w:t xml:space="preserve">” </w:t>
      </w:r>
      <w:r w:rsidR="00E43965">
        <w:rPr>
          <w:lang w:val="en-AU"/>
        </w:rPr>
        <w:t>behavioural</w:t>
      </w:r>
      <w:r>
        <w:rPr>
          <w:lang w:val="en-AU"/>
        </w:rPr>
        <w:t xml:space="preserve"> index, we </w:t>
      </w:r>
      <w:r w:rsidR="00905BAF">
        <w:rPr>
          <w:lang w:val="en-AU"/>
        </w:rPr>
        <w:t xml:space="preserve">created a measure of the </w:t>
      </w:r>
      <w:r w:rsidR="00506208">
        <w:rPr>
          <w:lang w:val="en-AU"/>
        </w:rPr>
        <w:t>repetition</w:t>
      </w:r>
      <w:r w:rsidR="00905BAF">
        <w:rPr>
          <w:lang w:val="en-AU"/>
        </w:rPr>
        <w:t xml:space="preserve"> priming effect across </w:t>
      </w:r>
      <w:r w:rsidR="00506208">
        <w:rPr>
          <w:lang w:val="en-AU"/>
        </w:rPr>
        <w:t>cycles</w:t>
      </w:r>
      <w:r w:rsidR="00905BAF">
        <w:rPr>
          <w:lang w:val="en-AU"/>
        </w:rPr>
        <w:t xml:space="preserve"> on the </w:t>
      </w:r>
      <w:r w:rsidR="00506208">
        <w:rPr>
          <w:lang w:val="en-AU"/>
        </w:rPr>
        <w:t>blocked</w:t>
      </w:r>
      <w:r w:rsidR="00905BAF">
        <w:rPr>
          <w:lang w:val="en-AU"/>
        </w:rPr>
        <w:t xml:space="preserve"> cyclic naming task. U</w:t>
      </w:r>
      <w:r>
        <w:rPr>
          <w:lang w:val="en-AU"/>
        </w:rPr>
        <w:t>sing a</w:t>
      </w:r>
      <w:r w:rsidR="00905BAF">
        <w:rPr>
          <w:lang w:val="en-AU"/>
        </w:rPr>
        <w:t xml:space="preserve"> similar</w:t>
      </w:r>
      <w:r>
        <w:rPr>
          <w:lang w:val="en-AU"/>
        </w:rPr>
        <w:t xml:space="preserve"> cyclic naming task to our own</w:t>
      </w:r>
      <w:r w:rsidR="00905BAF">
        <w:rPr>
          <w:lang w:val="en-AU"/>
        </w:rPr>
        <w:t xml:space="preserve">, </w:t>
      </w:r>
      <w:r w:rsidR="00905BAF" w:rsidRPr="00615908">
        <w:rPr>
          <w:lang w:val="en-AU"/>
        </w:rPr>
        <w:t>Python</w:t>
      </w:r>
      <w:r w:rsidR="00905BAF">
        <w:rPr>
          <w:lang w:val="en-AU"/>
        </w:rPr>
        <w:t xml:space="preserve"> et al. </w:t>
      </w:r>
      <w:r w:rsidR="00905BAF" w:rsidRPr="00615908">
        <w:rPr>
          <w:lang w:val="en-AU"/>
        </w:rPr>
        <w:t>(2018)</w:t>
      </w:r>
      <w:r>
        <w:rPr>
          <w:lang w:val="en-AU"/>
        </w:rPr>
        <w:t xml:space="preserve"> </w:t>
      </w:r>
      <w:r w:rsidR="00905BAF">
        <w:rPr>
          <w:lang w:val="en-AU"/>
        </w:rPr>
        <w:t>observed</w:t>
      </w:r>
      <w:r>
        <w:rPr>
          <w:lang w:val="en-AU"/>
        </w:rPr>
        <w:t xml:space="preserve"> </w:t>
      </w:r>
      <w:r w:rsidR="00905BAF">
        <w:rPr>
          <w:lang w:val="en-AU"/>
        </w:rPr>
        <w:t xml:space="preserve">a characteristic repetition priming effect in </w:t>
      </w:r>
      <w:r>
        <w:rPr>
          <w:lang w:val="en-AU"/>
        </w:rPr>
        <w:t xml:space="preserve">a group of individuals with left middle temporal gyrus </w:t>
      </w:r>
      <w:r w:rsidR="00905BAF">
        <w:rPr>
          <w:lang w:val="en-AU"/>
        </w:rPr>
        <w:t>lesions</w:t>
      </w:r>
      <w:r>
        <w:rPr>
          <w:lang w:val="en-AU"/>
        </w:rPr>
        <w:t xml:space="preserve">: their naming latencies became faster as the cycles progressed, irrespective of whether the picture sets were related or unrelated. </w:t>
      </w:r>
      <w:r w:rsidR="00E43965">
        <w:rPr>
          <w:lang w:val="en-AU"/>
        </w:rPr>
        <w:t>To</w:t>
      </w:r>
      <w:r>
        <w:rPr>
          <w:lang w:val="en-AU"/>
        </w:rPr>
        <w:t xml:space="preserve"> create </w:t>
      </w:r>
      <w:r w:rsidR="001D25A5">
        <w:rPr>
          <w:lang w:val="en-AU"/>
        </w:rPr>
        <w:t>an index of this effect</w:t>
      </w:r>
      <w:r w:rsidR="00644269">
        <w:rPr>
          <w:lang w:val="en-AU"/>
        </w:rPr>
        <w:t xml:space="preserve">, </w:t>
      </w:r>
      <w:r w:rsidR="001D25A5">
        <w:rPr>
          <w:iCs/>
        </w:rPr>
        <w:t xml:space="preserve">we calculated the average percentage change in naming latencies </w:t>
      </w:r>
      <w:r>
        <w:rPr>
          <w:iCs/>
        </w:rPr>
        <w:t xml:space="preserve">for each participant </w:t>
      </w:r>
      <w:r w:rsidR="001D25A5">
        <w:rPr>
          <w:iCs/>
        </w:rPr>
        <w:t xml:space="preserve">with each successive cycle through the picture set, irrespective of relatedness </w:t>
      </w:r>
      <w:r w:rsidR="00506208">
        <w:rPr>
          <w:iCs/>
        </w:rPr>
        <w:t>condition.</w:t>
      </w:r>
      <w:r w:rsidR="001D25A5">
        <w:rPr>
          <w:iCs/>
        </w:rPr>
        <w:t xml:space="preserve"> </w:t>
      </w:r>
      <w:r w:rsidR="000A7AA3" w:rsidRPr="000A7AA3">
        <w:rPr>
          <w:iCs/>
          <w:vertAlign w:val="superscript"/>
        </w:rPr>
        <w:t xml:space="preserve">1 </w:t>
      </w:r>
      <w:r w:rsidR="00644269">
        <w:rPr>
          <w:iCs/>
        </w:rPr>
        <w:t xml:space="preserve">A VLSM analysis based on this measure did not reveal any significant </w:t>
      </w:r>
      <w:r w:rsidR="005230ED">
        <w:rPr>
          <w:lang w:val="en-AU"/>
        </w:rPr>
        <w:t>voxel</w:t>
      </w:r>
      <w:r w:rsidR="006228D3">
        <w:rPr>
          <w:lang w:val="en-AU"/>
        </w:rPr>
        <w:t xml:space="preserve">s </w:t>
      </w:r>
      <w:r w:rsidR="005230ED">
        <w:rPr>
          <w:bCs/>
          <w:lang w:val="en-GB"/>
        </w:rPr>
        <w:t xml:space="preserve">after applying </w:t>
      </w:r>
      <w:r w:rsidR="00644269">
        <w:rPr>
          <w:bCs/>
          <w:lang w:val="en-GB"/>
        </w:rPr>
        <w:t xml:space="preserve">a </w:t>
      </w:r>
      <w:r w:rsidR="005230ED" w:rsidRPr="0044401C">
        <w:rPr>
          <w:bCs/>
          <w:lang w:val="en-GB"/>
        </w:rPr>
        <w:lastRenderedPageBreak/>
        <w:t xml:space="preserve">CFWER correction </w:t>
      </w:r>
      <w:r w:rsidR="005230ED">
        <w:rPr>
          <w:bCs/>
          <w:lang w:val="en-GB"/>
        </w:rPr>
        <w:t xml:space="preserve">based on </w:t>
      </w:r>
      <w:r w:rsidR="005230ED" w:rsidRPr="008F7F1C">
        <w:rPr>
          <w:bCs/>
          <w:i/>
          <w:iCs/>
          <w:lang w:val="en-GB"/>
        </w:rPr>
        <w:t>v </w:t>
      </w:r>
      <w:r w:rsidR="005230ED" w:rsidRPr="0044401C">
        <w:rPr>
          <w:bCs/>
          <w:lang w:val="en-GB"/>
        </w:rPr>
        <w:t>= </w:t>
      </w:r>
      <w:r w:rsidR="005230ED">
        <w:rPr>
          <w:bCs/>
          <w:lang w:val="en-GB"/>
        </w:rPr>
        <w:t>5.</w:t>
      </w:r>
      <w:r w:rsidR="005230ED">
        <w:rPr>
          <w:lang w:val="en-AU"/>
        </w:rPr>
        <w:t xml:space="preserve"> </w:t>
      </w:r>
      <w:r w:rsidR="00121A52">
        <w:rPr>
          <w:lang w:val="en-AU"/>
        </w:rPr>
        <w:t xml:space="preserve">Table S3 provides the individual latency data for each participant, as well as the values for our </w:t>
      </w:r>
      <w:r w:rsidR="00506208">
        <w:rPr>
          <w:lang w:val="en-AU"/>
        </w:rPr>
        <w:t>repetition</w:t>
      </w:r>
      <w:r w:rsidR="00121A52">
        <w:rPr>
          <w:lang w:val="en-AU"/>
        </w:rPr>
        <w:t xml:space="preserve"> priming index, and </w:t>
      </w:r>
      <w:r>
        <w:rPr>
          <w:bCs/>
          <w:lang w:val="en-GB"/>
        </w:rPr>
        <w:t xml:space="preserve">Table S4 summarises the </w:t>
      </w:r>
      <w:r w:rsidR="00E43965">
        <w:rPr>
          <w:bCs/>
          <w:lang w:val="en-GB"/>
        </w:rPr>
        <w:t>localisation</w:t>
      </w:r>
      <w:r>
        <w:rPr>
          <w:bCs/>
          <w:lang w:val="en-GB"/>
        </w:rPr>
        <w:t xml:space="preserve"> of voxels </w:t>
      </w:r>
      <w:r w:rsidR="00E43965">
        <w:rPr>
          <w:bCs/>
          <w:lang w:val="en-GB"/>
        </w:rPr>
        <w:t>that</w:t>
      </w:r>
      <w:r>
        <w:rPr>
          <w:bCs/>
          <w:lang w:val="en-GB"/>
        </w:rPr>
        <w:t xml:space="preserve"> were </w:t>
      </w:r>
      <w:r w:rsidR="00E43965">
        <w:rPr>
          <w:bCs/>
          <w:lang w:val="en-GB"/>
        </w:rPr>
        <w:t>significantly</w:t>
      </w:r>
      <w:r>
        <w:rPr>
          <w:bCs/>
          <w:lang w:val="en-GB"/>
        </w:rPr>
        <w:t xml:space="preserve"> </w:t>
      </w:r>
      <w:r w:rsidR="00E43965">
        <w:rPr>
          <w:bCs/>
          <w:lang w:val="en-GB"/>
        </w:rPr>
        <w:t>associated</w:t>
      </w:r>
      <w:r>
        <w:rPr>
          <w:bCs/>
          <w:lang w:val="en-GB"/>
        </w:rPr>
        <w:t xml:space="preserve"> with this effect, after </w:t>
      </w:r>
      <w:r w:rsidRPr="0044401C">
        <w:rPr>
          <w:bCs/>
          <w:lang w:val="en-GB"/>
        </w:rPr>
        <w:t xml:space="preserve">CFWER correction based on </w:t>
      </w:r>
      <w:r w:rsidRPr="008F7F1C">
        <w:rPr>
          <w:bCs/>
          <w:i/>
          <w:iCs/>
          <w:lang w:val="en-GB"/>
        </w:rPr>
        <w:t>v </w:t>
      </w:r>
      <w:r w:rsidRPr="0044401C">
        <w:rPr>
          <w:bCs/>
          <w:lang w:val="en-GB"/>
        </w:rPr>
        <w:t>= </w:t>
      </w:r>
      <w:r>
        <w:rPr>
          <w:bCs/>
          <w:lang w:val="en-GB"/>
        </w:rPr>
        <w:t>10. This analysis identified</w:t>
      </w:r>
      <w:r w:rsidR="005230ED">
        <w:rPr>
          <w:lang w:val="en-AU"/>
        </w:rPr>
        <w:t xml:space="preserve"> a small region within the </w:t>
      </w:r>
      <w:r w:rsidR="00807095">
        <w:rPr>
          <w:lang w:val="en-AU"/>
        </w:rPr>
        <w:t>inferior</w:t>
      </w:r>
      <w:r w:rsidR="005230ED">
        <w:rPr>
          <w:lang w:val="en-AU"/>
        </w:rPr>
        <w:t xml:space="preserve"> </w:t>
      </w:r>
      <w:r w:rsidR="00807095">
        <w:rPr>
          <w:lang w:val="en-AU"/>
        </w:rPr>
        <w:t>temporal</w:t>
      </w:r>
      <w:r w:rsidR="005230ED">
        <w:rPr>
          <w:lang w:val="en-AU"/>
        </w:rPr>
        <w:t xml:space="preserve"> lobe (</w:t>
      </w:r>
      <w:r w:rsidR="006228D3">
        <w:rPr>
          <w:lang w:val="en-AU"/>
        </w:rPr>
        <w:t xml:space="preserve">the </w:t>
      </w:r>
      <w:r w:rsidR="005230ED">
        <w:rPr>
          <w:lang w:val="en-AU"/>
        </w:rPr>
        <w:t xml:space="preserve">posterior </w:t>
      </w:r>
      <w:r w:rsidR="00807095">
        <w:rPr>
          <w:lang w:val="en-AU"/>
        </w:rPr>
        <w:t>inferior</w:t>
      </w:r>
      <w:r w:rsidR="005230ED">
        <w:rPr>
          <w:lang w:val="en-AU"/>
        </w:rPr>
        <w:t xml:space="preserve"> temporal gyr</w:t>
      </w:r>
      <w:r w:rsidR="00807095">
        <w:rPr>
          <w:lang w:val="en-AU"/>
        </w:rPr>
        <w:t>u</w:t>
      </w:r>
      <w:r w:rsidR="005230ED">
        <w:rPr>
          <w:lang w:val="en-AU"/>
        </w:rPr>
        <w:t>s, and the anterio</w:t>
      </w:r>
      <w:r w:rsidR="00807095">
        <w:rPr>
          <w:lang w:val="en-AU"/>
        </w:rPr>
        <w:t>r</w:t>
      </w:r>
      <w:r w:rsidR="005230ED">
        <w:rPr>
          <w:lang w:val="en-AU"/>
        </w:rPr>
        <w:t xml:space="preserve"> and </w:t>
      </w:r>
      <w:r w:rsidR="00807095">
        <w:rPr>
          <w:lang w:val="en-AU"/>
        </w:rPr>
        <w:t>posterior</w:t>
      </w:r>
      <w:r w:rsidR="005230ED">
        <w:rPr>
          <w:lang w:val="en-AU"/>
        </w:rPr>
        <w:t xml:space="preserve"> portions of </w:t>
      </w:r>
      <w:r w:rsidR="00D51A4F">
        <w:rPr>
          <w:lang w:val="en-AU"/>
        </w:rPr>
        <w:t>the temporal</w:t>
      </w:r>
      <w:r w:rsidR="005230ED">
        <w:rPr>
          <w:lang w:val="en-AU"/>
        </w:rPr>
        <w:t xml:space="preserve"> fusiform gyr</w:t>
      </w:r>
      <w:r w:rsidR="00807095">
        <w:rPr>
          <w:lang w:val="en-AU"/>
        </w:rPr>
        <w:t>u</w:t>
      </w:r>
      <w:r w:rsidR="005230ED">
        <w:rPr>
          <w:lang w:val="en-AU"/>
        </w:rPr>
        <w:t xml:space="preserve">s), with </w:t>
      </w:r>
      <w:r w:rsidR="00807095">
        <w:rPr>
          <w:lang w:val="en-AU"/>
        </w:rPr>
        <w:t>extension</w:t>
      </w:r>
      <w:r w:rsidR="005230ED">
        <w:rPr>
          <w:lang w:val="en-AU"/>
        </w:rPr>
        <w:t xml:space="preserve"> </w:t>
      </w:r>
      <w:r w:rsidR="00807095">
        <w:rPr>
          <w:lang w:val="en-AU"/>
        </w:rPr>
        <w:t>into</w:t>
      </w:r>
      <w:r w:rsidR="005230ED">
        <w:rPr>
          <w:lang w:val="en-AU"/>
        </w:rPr>
        <w:t xml:space="preserve"> </w:t>
      </w:r>
      <w:r w:rsidR="00807095">
        <w:rPr>
          <w:lang w:val="en-AU"/>
        </w:rPr>
        <w:t>t</w:t>
      </w:r>
      <w:r w:rsidR="005230ED">
        <w:rPr>
          <w:lang w:val="en-AU"/>
        </w:rPr>
        <w:t xml:space="preserve">he </w:t>
      </w:r>
      <w:r w:rsidR="00807095">
        <w:rPr>
          <w:lang w:val="en-AU"/>
        </w:rPr>
        <w:t>territory</w:t>
      </w:r>
      <w:r w:rsidR="005230ED">
        <w:rPr>
          <w:lang w:val="en-AU"/>
        </w:rPr>
        <w:t xml:space="preserve"> of the </w:t>
      </w:r>
      <w:r w:rsidR="00807095">
        <w:rPr>
          <w:lang w:val="en-AU"/>
        </w:rPr>
        <w:t>inferior</w:t>
      </w:r>
      <w:r w:rsidR="005230ED">
        <w:rPr>
          <w:lang w:val="en-AU"/>
        </w:rPr>
        <w:t xml:space="preserve"> longitudinal </w:t>
      </w:r>
      <w:r w:rsidR="00807095">
        <w:rPr>
          <w:lang w:val="en-AU"/>
        </w:rPr>
        <w:t>fasciculus</w:t>
      </w:r>
      <w:r w:rsidR="005230ED">
        <w:rPr>
          <w:lang w:val="en-AU"/>
        </w:rPr>
        <w:t xml:space="preserve"> and the IFOF.</w:t>
      </w:r>
      <w:r w:rsidR="00512782">
        <w:rPr>
          <w:lang w:val="en-AU"/>
        </w:rPr>
        <w:t xml:space="preserve"> </w:t>
      </w:r>
    </w:p>
    <w:p w14:paraId="0BAB3564" w14:textId="259CAECD" w:rsidR="00512782" w:rsidRPr="001759A0" w:rsidRDefault="002C7746" w:rsidP="00512782">
      <w:pPr>
        <w:spacing w:line="480" w:lineRule="auto"/>
        <w:jc w:val="center"/>
        <w:rPr>
          <w:b/>
          <w:lang w:val="en-GB"/>
        </w:rPr>
      </w:pPr>
      <w:r>
        <w:rPr>
          <w:b/>
          <w:lang w:val="en-GB"/>
        </w:rPr>
        <w:t xml:space="preserve">4. </w:t>
      </w:r>
      <w:r w:rsidR="00512782" w:rsidRPr="001759A0">
        <w:rPr>
          <w:b/>
          <w:lang w:val="en-GB"/>
        </w:rPr>
        <w:t>Discussion</w:t>
      </w:r>
    </w:p>
    <w:p w14:paraId="422BF4C6" w14:textId="481E1207" w:rsidR="00512782" w:rsidRDefault="00512782" w:rsidP="00512782">
      <w:pPr>
        <w:spacing w:line="480" w:lineRule="auto"/>
        <w:ind w:firstLine="720"/>
        <w:rPr>
          <w:lang w:val="en-AU"/>
        </w:rPr>
      </w:pPr>
      <w:r>
        <w:rPr>
          <w:lang w:val="en-AU"/>
        </w:rPr>
        <w:t>This study</w:t>
      </w:r>
      <w:r w:rsidR="00285463">
        <w:rPr>
          <w:lang w:val="en-AU"/>
        </w:rPr>
        <w:t xml:space="preserve"> investigated the associations between </w:t>
      </w:r>
      <w:r w:rsidR="00285463">
        <w:rPr>
          <w:shd w:val="clear" w:color="auto" w:fill="FFFFFF" w:themeFill="background1"/>
          <w:lang w:val="en-AU"/>
        </w:rPr>
        <w:t>seven</w:t>
      </w:r>
      <w:r w:rsidR="00285463" w:rsidRPr="004A1E67">
        <w:rPr>
          <w:shd w:val="clear" w:color="auto" w:fill="FFFFFF" w:themeFill="background1"/>
          <w:lang w:val="en-AU"/>
        </w:rPr>
        <w:t xml:space="preserve"> </w:t>
      </w:r>
      <w:r w:rsidR="00285463">
        <w:rPr>
          <w:shd w:val="clear" w:color="auto" w:fill="FFFFFF" w:themeFill="background1"/>
          <w:lang w:val="en-AU"/>
        </w:rPr>
        <w:t xml:space="preserve">key </w:t>
      </w:r>
      <w:r w:rsidR="003F1F5B">
        <w:rPr>
          <w:shd w:val="clear" w:color="auto" w:fill="FFFFFF" w:themeFill="background1"/>
          <w:lang w:val="en-AU"/>
        </w:rPr>
        <w:t xml:space="preserve">measures </w:t>
      </w:r>
      <w:r w:rsidR="00436B59">
        <w:rPr>
          <w:shd w:val="clear" w:color="auto" w:fill="FFFFFF" w:themeFill="background1"/>
          <w:lang w:val="en-AU"/>
        </w:rPr>
        <w:t xml:space="preserve">in people with aphasia </w:t>
      </w:r>
      <w:r w:rsidR="003F1F5B">
        <w:rPr>
          <w:shd w:val="clear" w:color="auto" w:fill="FFFFFF" w:themeFill="background1"/>
          <w:lang w:val="en-AU"/>
        </w:rPr>
        <w:t xml:space="preserve">that have previously been </w:t>
      </w:r>
      <w:r w:rsidR="00506208">
        <w:rPr>
          <w:shd w:val="clear" w:color="auto" w:fill="FFFFFF" w:themeFill="background1"/>
          <w:lang w:val="en-AU"/>
        </w:rPr>
        <w:t>associated</w:t>
      </w:r>
      <w:r w:rsidR="003F1F5B">
        <w:rPr>
          <w:shd w:val="clear" w:color="auto" w:fill="FFFFFF" w:themeFill="background1"/>
          <w:lang w:val="en-AU"/>
        </w:rPr>
        <w:t xml:space="preserve"> with</w:t>
      </w:r>
      <w:r w:rsidR="00285463">
        <w:rPr>
          <w:lang w:val="en-AU"/>
        </w:rPr>
        <w:t xml:space="preserve"> nonfluent aphasia </w:t>
      </w:r>
      <w:r w:rsidR="003F1F5B">
        <w:rPr>
          <w:lang w:val="en-AU"/>
        </w:rPr>
        <w:t xml:space="preserve">and/or damage to </w:t>
      </w:r>
      <w:r w:rsidR="00506208">
        <w:rPr>
          <w:lang w:val="en-AU"/>
        </w:rPr>
        <w:t>anterior</w:t>
      </w:r>
      <w:r w:rsidR="003F1F5B">
        <w:rPr>
          <w:lang w:val="en-AU"/>
        </w:rPr>
        <w:t xml:space="preserve"> </w:t>
      </w:r>
      <w:r w:rsidR="00506208">
        <w:rPr>
          <w:lang w:val="en-AU"/>
        </w:rPr>
        <w:t>language</w:t>
      </w:r>
      <w:r w:rsidR="003F1F5B">
        <w:rPr>
          <w:lang w:val="en-AU"/>
        </w:rPr>
        <w:t xml:space="preserve"> regions</w:t>
      </w:r>
      <w:r w:rsidR="00285463">
        <w:rPr>
          <w:lang w:val="en-AU"/>
        </w:rPr>
        <w:t xml:space="preserve">. </w:t>
      </w:r>
      <w:r w:rsidR="004D5573">
        <w:rPr>
          <w:lang w:val="en-AU"/>
        </w:rPr>
        <w:t xml:space="preserve">Not </w:t>
      </w:r>
      <w:r w:rsidR="005950FB">
        <w:rPr>
          <w:lang w:val="en-AU"/>
        </w:rPr>
        <w:t>surprisingly</w:t>
      </w:r>
      <w:r w:rsidR="004D5573">
        <w:rPr>
          <w:lang w:val="en-AU"/>
        </w:rPr>
        <w:t xml:space="preserve">, all the measures </w:t>
      </w:r>
      <w:r w:rsidR="00C16411">
        <w:rPr>
          <w:lang w:val="en-AU"/>
        </w:rPr>
        <w:t>showed</w:t>
      </w:r>
      <w:r w:rsidR="004D5573">
        <w:rPr>
          <w:lang w:val="en-AU"/>
        </w:rPr>
        <w:t xml:space="preserve"> a trend toward positive </w:t>
      </w:r>
      <w:r w:rsidR="005950FB">
        <w:rPr>
          <w:lang w:val="en-AU"/>
        </w:rPr>
        <w:t>associations</w:t>
      </w:r>
      <w:r w:rsidR="004D5573">
        <w:rPr>
          <w:lang w:val="en-AU"/>
        </w:rPr>
        <w:t>, but there was evidence for two distinct cluster</w:t>
      </w:r>
      <w:r w:rsidR="00C16411">
        <w:rPr>
          <w:lang w:val="en-AU"/>
        </w:rPr>
        <w:t>s</w:t>
      </w:r>
      <w:r w:rsidR="004D5573">
        <w:rPr>
          <w:lang w:val="en-AU"/>
        </w:rPr>
        <w:t xml:space="preserve">. The first cluster, </w:t>
      </w:r>
      <w:r w:rsidR="00C16411" w:rsidRPr="00C16411">
        <w:rPr>
          <w:i/>
          <w:iCs/>
          <w:lang w:val="en-AU"/>
        </w:rPr>
        <w:t xml:space="preserve">fluency and </w:t>
      </w:r>
      <w:r w:rsidR="00E43965" w:rsidRPr="00C16411">
        <w:rPr>
          <w:i/>
          <w:iCs/>
          <w:lang w:val="en-AU"/>
        </w:rPr>
        <w:t>grammaticality</w:t>
      </w:r>
      <w:r w:rsidR="004D5573">
        <w:rPr>
          <w:lang w:val="en-AU"/>
        </w:rPr>
        <w:t xml:space="preserve">, </w:t>
      </w:r>
      <w:r w:rsidR="002931FB">
        <w:rPr>
          <w:lang w:val="en-AU"/>
        </w:rPr>
        <w:t>included</w:t>
      </w:r>
      <w:r w:rsidR="00C16411">
        <w:rPr>
          <w:lang w:val="en-AU"/>
        </w:rPr>
        <w:t xml:space="preserve"> </w:t>
      </w:r>
      <w:r w:rsidR="003F1F5B">
        <w:rPr>
          <w:lang w:val="en-AU"/>
        </w:rPr>
        <w:t xml:space="preserve">three measures of open-ended speech: </w:t>
      </w:r>
      <w:r w:rsidR="00C16411">
        <w:rPr>
          <w:lang w:val="en-AU"/>
        </w:rPr>
        <w:t xml:space="preserve">the </w:t>
      </w:r>
      <w:r w:rsidR="003F1F5B">
        <w:rPr>
          <w:lang w:val="en-AU"/>
        </w:rPr>
        <w:t xml:space="preserve">proportion of </w:t>
      </w:r>
      <w:r w:rsidR="00C16411">
        <w:rPr>
          <w:lang w:val="en-AU"/>
        </w:rPr>
        <w:t xml:space="preserve">closed </w:t>
      </w:r>
      <w:r w:rsidR="00E43965">
        <w:rPr>
          <w:lang w:val="en-AU"/>
        </w:rPr>
        <w:t>class</w:t>
      </w:r>
      <w:r w:rsidR="003F1F5B">
        <w:rPr>
          <w:lang w:val="en-AU"/>
        </w:rPr>
        <w:t xml:space="preserve"> word</w:t>
      </w:r>
      <w:r w:rsidR="00436B59">
        <w:rPr>
          <w:lang w:val="en-AU"/>
        </w:rPr>
        <w:t>s</w:t>
      </w:r>
      <w:r w:rsidR="0092100C">
        <w:rPr>
          <w:lang w:val="en-AU"/>
        </w:rPr>
        <w:t>,</w:t>
      </w:r>
      <w:r w:rsidR="00C16411">
        <w:rPr>
          <w:lang w:val="en-AU"/>
        </w:rPr>
        <w:t xml:space="preserve"> speech rate </w:t>
      </w:r>
      <w:r w:rsidR="0092100C">
        <w:rPr>
          <w:lang w:val="en-AU"/>
        </w:rPr>
        <w:t xml:space="preserve">and </w:t>
      </w:r>
      <w:r w:rsidR="003F1F5B">
        <w:rPr>
          <w:lang w:val="en-AU"/>
        </w:rPr>
        <w:t xml:space="preserve">examiner-rated </w:t>
      </w:r>
      <w:r w:rsidR="0092100C">
        <w:rPr>
          <w:lang w:val="en-AU"/>
        </w:rPr>
        <w:t>articulatory agility</w:t>
      </w:r>
      <w:r w:rsidR="00C16411">
        <w:rPr>
          <w:lang w:val="en-AU"/>
        </w:rPr>
        <w:t xml:space="preserve">. </w:t>
      </w:r>
      <w:r w:rsidR="002B4E34">
        <w:rPr>
          <w:lang w:val="en-AU"/>
        </w:rPr>
        <w:t xml:space="preserve">The association between </w:t>
      </w:r>
      <w:r w:rsidR="0092100C">
        <w:rPr>
          <w:lang w:val="en-AU"/>
        </w:rPr>
        <w:t xml:space="preserve">measures of </w:t>
      </w:r>
      <w:r w:rsidR="002B4E34">
        <w:rPr>
          <w:lang w:val="en-AU"/>
        </w:rPr>
        <w:t>speech rate</w:t>
      </w:r>
      <w:r w:rsidR="0092100C">
        <w:rPr>
          <w:lang w:val="en-AU"/>
        </w:rPr>
        <w:t xml:space="preserve"> </w:t>
      </w:r>
      <w:r w:rsidR="002B4E34">
        <w:rPr>
          <w:lang w:val="en-AU"/>
        </w:rPr>
        <w:t xml:space="preserve">and grammatical function word production is consistent with previous research (e.g., </w:t>
      </w:r>
      <w:r w:rsidR="002B4E34" w:rsidRPr="00022EF8">
        <w:rPr>
          <w:lang w:val="en-AU"/>
        </w:rPr>
        <w:t xml:space="preserve">Nozari </w:t>
      </w:r>
      <w:r w:rsidR="002B4E34">
        <w:rPr>
          <w:lang w:val="en-AU"/>
        </w:rPr>
        <w:t>&amp;</w:t>
      </w:r>
      <w:r w:rsidR="002B4E34" w:rsidRPr="00022EF8">
        <w:rPr>
          <w:lang w:val="en-AU"/>
        </w:rPr>
        <w:t xml:space="preserve"> Faroqi-Shah</w:t>
      </w:r>
      <w:r w:rsidR="002B4E34">
        <w:rPr>
          <w:lang w:val="en-AU"/>
        </w:rPr>
        <w:t xml:space="preserve">, </w:t>
      </w:r>
      <w:r w:rsidR="002B4E34" w:rsidRPr="00022EF8">
        <w:rPr>
          <w:lang w:val="en-AU"/>
        </w:rPr>
        <w:t>2017</w:t>
      </w:r>
      <w:r w:rsidR="002B4E34">
        <w:rPr>
          <w:lang w:val="en-AU"/>
        </w:rPr>
        <w:t xml:space="preserve">; but see Ding et al., 2020, for </w:t>
      </w:r>
      <w:r w:rsidR="00EC446B">
        <w:rPr>
          <w:lang w:val="en-AU"/>
        </w:rPr>
        <w:t>a large group study demonstrating some</w:t>
      </w:r>
      <w:r w:rsidR="00EE3D15">
        <w:rPr>
          <w:lang w:val="en-AU"/>
        </w:rPr>
        <w:t xml:space="preserve"> dissociation</w:t>
      </w:r>
      <w:r w:rsidR="002B4E34">
        <w:rPr>
          <w:lang w:val="en-AU"/>
        </w:rPr>
        <w:t xml:space="preserve">). </w:t>
      </w:r>
      <w:r w:rsidR="005950FB">
        <w:rPr>
          <w:lang w:val="en-AU"/>
        </w:rPr>
        <w:t xml:space="preserve">The </w:t>
      </w:r>
      <w:r w:rsidR="00E43965">
        <w:rPr>
          <w:lang w:val="en-AU"/>
        </w:rPr>
        <w:t>second</w:t>
      </w:r>
      <w:r w:rsidR="00C16411">
        <w:rPr>
          <w:lang w:val="en-AU"/>
        </w:rPr>
        <w:t xml:space="preserve"> cluster, </w:t>
      </w:r>
      <w:r w:rsidR="00E43965" w:rsidRPr="00C16411">
        <w:rPr>
          <w:i/>
          <w:iCs/>
          <w:lang w:val="en-AU"/>
        </w:rPr>
        <w:t>context</w:t>
      </w:r>
      <w:r w:rsidR="00C16411" w:rsidRPr="00C16411">
        <w:rPr>
          <w:i/>
          <w:iCs/>
          <w:lang w:val="en-AU"/>
        </w:rPr>
        <w:t xml:space="preserve"> </w:t>
      </w:r>
      <w:r w:rsidR="00E43965" w:rsidRPr="00C16411">
        <w:rPr>
          <w:i/>
          <w:iCs/>
          <w:lang w:val="en-AU"/>
        </w:rPr>
        <w:t>sensitivity</w:t>
      </w:r>
      <w:r w:rsidR="00C16411">
        <w:rPr>
          <w:i/>
          <w:iCs/>
          <w:lang w:val="en-AU"/>
        </w:rPr>
        <w:t>,</w:t>
      </w:r>
      <w:r w:rsidR="005950FB" w:rsidRPr="00C16411">
        <w:rPr>
          <w:i/>
          <w:iCs/>
          <w:lang w:val="en-AU"/>
        </w:rPr>
        <w:t xml:space="preserve"> </w:t>
      </w:r>
      <w:r w:rsidR="002931FB">
        <w:rPr>
          <w:lang w:val="en-AU"/>
        </w:rPr>
        <w:t>included</w:t>
      </w:r>
      <w:r w:rsidR="005950FB">
        <w:rPr>
          <w:lang w:val="en-AU"/>
        </w:rPr>
        <w:t xml:space="preserve"> </w:t>
      </w:r>
      <w:r w:rsidR="003F1F5B">
        <w:rPr>
          <w:lang w:val="en-AU"/>
        </w:rPr>
        <w:t>a</w:t>
      </w:r>
      <w:r w:rsidR="00C16411">
        <w:rPr>
          <w:lang w:val="en-AU"/>
        </w:rPr>
        <w:t xml:space="preserve"> </w:t>
      </w:r>
      <w:r w:rsidR="005950FB">
        <w:rPr>
          <w:lang w:val="en-AU"/>
        </w:rPr>
        <w:t xml:space="preserve">comparative measure of subject and object noun accuracy on </w:t>
      </w:r>
      <w:r w:rsidR="003F1F5B">
        <w:rPr>
          <w:lang w:val="en-AU"/>
        </w:rPr>
        <w:t>a constrained</w:t>
      </w:r>
      <w:r w:rsidR="005950FB">
        <w:rPr>
          <w:lang w:val="en-AU"/>
        </w:rPr>
        <w:t xml:space="preserve"> sentence production task</w:t>
      </w:r>
      <w:r w:rsidR="00C16411">
        <w:rPr>
          <w:lang w:val="en-AU"/>
        </w:rPr>
        <w:t xml:space="preserve"> and </w:t>
      </w:r>
      <w:r w:rsidR="003F1F5B">
        <w:rPr>
          <w:lang w:val="en-AU"/>
        </w:rPr>
        <w:t xml:space="preserve">also </w:t>
      </w:r>
      <w:r w:rsidR="00905BAF">
        <w:rPr>
          <w:lang w:val="en-AU"/>
        </w:rPr>
        <w:t xml:space="preserve">an </w:t>
      </w:r>
      <w:r w:rsidR="003F1F5B">
        <w:rPr>
          <w:lang w:val="en-AU"/>
        </w:rPr>
        <w:t xml:space="preserve">index of semantic interference in </w:t>
      </w:r>
      <w:r w:rsidR="00C16411">
        <w:rPr>
          <w:lang w:val="en-AU"/>
        </w:rPr>
        <w:t>the cyclic naming task</w:t>
      </w:r>
      <w:r w:rsidR="005950FB">
        <w:rPr>
          <w:lang w:val="en-AU"/>
        </w:rPr>
        <w:t xml:space="preserve">. </w:t>
      </w:r>
      <w:r w:rsidR="00C16411">
        <w:rPr>
          <w:lang w:val="en-AU"/>
        </w:rPr>
        <w:t xml:space="preserve">The remaining </w:t>
      </w:r>
      <w:r w:rsidR="00EC446B">
        <w:rPr>
          <w:lang w:val="en-AU"/>
        </w:rPr>
        <w:t xml:space="preserve">two </w:t>
      </w:r>
      <w:r w:rsidR="00E43965">
        <w:rPr>
          <w:lang w:val="en-AU"/>
        </w:rPr>
        <w:t>measures</w:t>
      </w:r>
      <w:r w:rsidR="00C16411">
        <w:rPr>
          <w:lang w:val="en-AU"/>
        </w:rPr>
        <w:t xml:space="preserve"> </w:t>
      </w:r>
      <w:r w:rsidR="002931FB">
        <w:rPr>
          <w:lang w:val="en-AU"/>
        </w:rPr>
        <w:t>share</w:t>
      </w:r>
      <w:r w:rsidR="00E63B18">
        <w:rPr>
          <w:lang w:val="en-AU"/>
        </w:rPr>
        <w:t>d</w:t>
      </w:r>
      <w:r w:rsidR="002931FB">
        <w:rPr>
          <w:lang w:val="en-AU"/>
        </w:rPr>
        <w:t xml:space="preserve"> </w:t>
      </w:r>
      <w:r w:rsidR="003811F5">
        <w:rPr>
          <w:lang w:val="en-AU"/>
        </w:rPr>
        <w:t>overlap</w:t>
      </w:r>
      <w:r w:rsidR="002931FB">
        <w:rPr>
          <w:lang w:val="en-AU"/>
        </w:rPr>
        <w:t xml:space="preserve"> with </w:t>
      </w:r>
      <w:r w:rsidR="00C16411">
        <w:rPr>
          <w:lang w:val="en-AU"/>
        </w:rPr>
        <w:t xml:space="preserve">both these clusters. </w:t>
      </w:r>
      <w:r w:rsidR="004D5573">
        <w:rPr>
          <w:lang w:val="en-AU"/>
        </w:rPr>
        <w:t>These findings</w:t>
      </w:r>
      <w:r w:rsidR="00EC446B">
        <w:rPr>
          <w:lang w:val="en-AU"/>
        </w:rPr>
        <w:t>, taken together,</w:t>
      </w:r>
      <w:r w:rsidR="004D5573">
        <w:rPr>
          <w:lang w:val="en-AU"/>
        </w:rPr>
        <w:t xml:space="preserve"> suggest that the variance in </w:t>
      </w:r>
      <w:r w:rsidR="00436B59">
        <w:rPr>
          <w:lang w:val="en-AU"/>
        </w:rPr>
        <w:t>our seven key</w:t>
      </w:r>
      <w:r w:rsidR="00274233">
        <w:rPr>
          <w:lang w:val="en-AU"/>
        </w:rPr>
        <w:t xml:space="preserve"> </w:t>
      </w:r>
      <w:r w:rsidR="005950FB">
        <w:rPr>
          <w:lang w:val="en-AU"/>
        </w:rPr>
        <w:t>measures</w:t>
      </w:r>
      <w:r w:rsidR="004D5573">
        <w:rPr>
          <w:lang w:val="en-AU"/>
        </w:rPr>
        <w:t xml:space="preserve"> </w:t>
      </w:r>
      <w:r w:rsidR="00274233">
        <w:rPr>
          <w:lang w:val="en-AU"/>
        </w:rPr>
        <w:t>is</w:t>
      </w:r>
      <w:r w:rsidR="00022EF8">
        <w:rPr>
          <w:lang w:val="en-AU"/>
        </w:rPr>
        <w:t xml:space="preserve"> likely to be </w:t>
      </w:r>
      <w:r w:rsidR="002B4E34">
        <w:rPr>
          <w:lang w:val="en-AU"/>
        </w:rPr>
        <w:t>underpinned</w:t>
      </w:r>
      <w:r w:rsidR="00022EF8">
        <w:rPr>
          <w:lang w:val="en-AU"/>
        </w:rPr>
        <w:t xml:space="preserve"> by at least</w:t>
      </w:r>
      <w:r w:rsidR="004D5573">
        <w:rPr>
          <w:lang w:val="en-AU"/>
        </w:rPr>
        <w:t xml:space="preserve"> two </w:t>
      </w:r>
      <w:r w:rsidR="00E63B18">
        <w:rPr>
          <w:lang w:val="en-AU"/>
        </w:rPr>
        <w:t>distinct</w:t>
      </w:r>
      <w:r w:rsidR="00147515">
        <w:rPr>
          <w:lang w:val="en-AU"/>
        </w:rPr>
        <w:t xml:space="preserve"> types </w:t>
      </w:r>
      <w:r w:rsidR="005950FB">
        <w:rPr>
          <w:lang w:val="en-AU"/>
        </w:rPr>
        <w:t>of</w:t>
      </w:r>
      <w:r w:rsidR="00147515">
        <w:rPr>
          <w:lang w:val="en-AU"/>
        </w:rPr>
        <w:t xml:space="preserve"> </w:t>
      </w:r>
      <w:r w:rsidR="003811F5">
        <w:rPr>
          <w:lang w:val="en-AU"/>
        </w:rPr>
        <w:t xml:space="preserve">cognitive </w:t>
      </w:r>
      <w:r w:rsidR="000E285C">
        <w:rPr>
          <w:lang w:val="en-AU"/>
        </w:rPr>
        <w:t>difficulties</w:t>
      </w:r>
      <w:r w:rsidR="004D5573">
        <w:rPr>
          <w:lang w:val="en-AU"/>
        </w:rPr>
        <w:t>.</w:t>
      </w:r>
    </w:p>
    <w:p w14:paraId="60C7CBDF" w14:textId="09555CA2" w:rsidR="00E97C35" w:rsidRPr="002E3E5B" w:rsidRDefault="00512782" w:rsidP="00436B59">
      <w:pPr>
        <w:spacing w:line="480" w:lineRule="auto"/>
        <w:ind w:firstLine="720"/>
        <w:rPr>
          <w:bCs/>
          <w:lang w:val="en-GB"/>
        </w:rPr>
      </w:pPr>
      <w:r>
        <w:rPr>
          <w:lang w:val="en-AU"/>
        </w:rPr>
        <w:t>In the second part of the study</w:t>
      </w:r>
      <w:r>
        <w:t xml:space="preserve">, we examined the lesion correlates of these measures. The sample size was small, so statistical power </w:t>
      </w:r>
      <w:r w:rsidR="004F6E54">
        <w:t>was</w:t>
      </w:r>
      <w:r>
        <w:t xml:space="preserve"> low, and coverage was limited to the central territory of the left middle cerebral artery, so these findings must be treated with caution. However, after factoring out the effects of overall lesion volume, there were several findings</w:t>
      </w:r>
      <w:r w:rsidR="004D5573">
        <w:t xml:space="preserve"> </w:t>
      </w:r>
      <w:r w:rsidR="005950FB">
        <w:t>of</w:t>
      </w:r>
      <w:r w:rsidR="00147515">
        <w:t xml:space="preserve"> interest,</w:t>
      </w:r>
      <w:r w:rsidR="004D5573">
        <w:t xml:space="preserve"> </w:t>
      </w:r>
      <w:r>
        <w:t xml:space="preserve">which survived a relatively stringent correction for multiple comparisons. </w:t>
      </w:r>
      <w:r w:rsidR="002931FB">
        <w:t>T</w:t>
      </w:r>
      <w:r w:rsidR="00147515">
        <w:t>he</w:t>
      </w:r>
      <w:r w:rsidR="00C16411">
        <w:t xml:space="preserve"> </w:t>
      </w:r>
      <w:r w:rsidR="00E446DC">
        <w:t xml:space="preserve">measures in </w:t>
      </w:r>
      <w:r w:rsidR="00EC446B">
        <w:t>our</w:t>
      </w:r>
      <w:r w:rsidR="00E446DC">
        <w:t xml:space="preserve"> </w:t>
      </w:r>
      <w:r w:rsidR="00C16411">
        <w:t xml:space="preserve">fluency and </w:t>
      </w:r>
      <w:r w:rsidR="00E43965">
        <w:t>grammaticality</w:t>
      </w:r>
      <w:r w:rsidR="00147515">
        <w:t xml:space="preserve"> </w:t>
      </w:r>
      <w:r w:rsidR="00E446DC">
        <w:t>cluster</w:t>
      </w:r>
      <w:r w:rsidR="00147515">
        <w:t xml:space="preserve"> </w:t>
      </w:r>
      <w:r w:rsidR="002931FB">
        <w:t xml:space="preserve">were </w:t>
      </w:r>
      <w:r w:rsidR="00E43965">
        <w:t>associated</w:t>
      </w:r>
      <w:r w:rsidR="002931FB">
        <w:t xml:space="preserve"> with </w:t>
      </w:r>
      <w:r w:rsidR="00E43965">
        <w:t>damage</w:t>
      </w:r>
      <w:r w:rsidR="002931FB">
        <w:t xml:space="preserve"> to a central left </w:t>
      </w:r>
      <w:r w:rsidR="00E43965">
        <w:t>hemisphere</w:t>
      </w:r>
      <w:r w:rsidR="002931FB">
        <w:t xml:space="preserve"> region </w:t>
      </w:r>
      <w:r w:rsidR="00AF7DF1">
        <w:lastRenderedPageBreak/>
        <w:t>encompassing</w:t>
      </w:r>
      <w:r w:rsidR="002931FB">
        <w:rPr>
          <w:bCs/>
          <w:lang w:val="en-GB"/>
        </w:rPr>
        <w:t xml:space="preserve"> the left insula and central operculum</w:t>
      </w:r>
      <w:r w:rsidR="009D646A">
        <w:rPr>
          <w:bCs/>
          <w:lang w:val="en-GB"/>
        </w:rPr>
        <w:t xml:space="preserve">. There was </w:t>
      </w:r>
      <w:r w:rsidR="002931FB">
        <w:rPr>
          <w:bCs/>
          <w:lang w:val="en-GB"/>
        </w:rPr>
        <w:t>little involvement of the inferior or middle frontal gyri</w:t>
      </w:r>
      <w:r w:rsidR="009D646A">
        <w:rPr>
          <w:bCs/>
          <w:lang w:val="en-GB"/>
        </w:rPr>
        <w:t>, despite adequate power to detect such effects</w:t>
      </w:r>
      <w:r w:rsidR="00905BAF">
        <w:rPr>
          <w:bCs/>
          <w:lang w:val="en-GB"/>
        </w:rPr>
        <w:t xml:space="preserve">, </w:t>
      </w:r>
      <w:r w:rsidR="00EC446B">
        <w:rPr>
          <w:bCs/>
          <w:lang w:val="en-GB"/>
        </w:rPr>
        <w:t>as indicated by their</w:t>
      </w:r>
      <w:r w:rsidR="00D049AB">
        <w:rPr>
          <w:bCs/>
          <w:lang w:val="en-GB"/>
        </w:rPr>
        <w:t xml:space="preserve"> involvement </w:t>
      </w:r>
      <w:r w:rsidR="00EC446B">
        <w:rPr>
          <w:bCs/>
          <w:lang w:val="en-GB"/>
        </w:rPr>
        <w:t>in other VLSM analyses</w:t>
      </w:r>
      <w:r w:rsidR="002931FB">
        <w:rPr>
          <w:bCs/>
          <w:lang w:val="en-GB"/>
        </w:rPr>
        <w:t xml:space="preserve">. </w:t>
      </w:r>
      <w:r w:rsidR="002B4E34">
        <w:rPr>
          <w:lang w:val="en-AU"/>
        </w:rPr>
        <w:t xml:space="preserve">The left insula has previously been implicated in measures of fluency and speech rate (e.g., </w:t>
      </w:r>
      <w:r w:rsidR="002B4E34" w:rsidRPr="00536E8A">
        <w:t>Borovsky et al.</w:t>
      </w:r>
      <w:r w:rsidR="002B4E34">
        <w:t xml:space="preserve">, </w:t>
      </w:r>
      <w:r w:rsidR="002B4E34" w:rsidRPr="00536E8A">
        <w:t>2007</w:t>
      </w:r>
      <w:r w:rsidR="002B4E34">
        <w:t xml:space="preserve">; </w:t>
      </w:r>
      <w:r w:rsidR="002B4E34">
        <w:rPr>
          <w:bCs/>
          <w:lang w:val="en-GB"/>
        </w:rPr>
        <w:t>Ding et al.,</w:t>
      </w:r>
      <w:r w:rsidR="002B4E34" w:rsidRPr="00536E8A">
        <w:rPr>
          <w:bCs/>
          <w:lang w:val="en-GB"/>
        </w:rPr>
        <w:t xml:space="preserve"> 2020</w:t>
      </w:r>
      <w:r w:rsidR="002B4E34">
        <w:rPr>
          <w:bCs/>
          <w:lang w:val="en-GB"/>
        </w:rPr>
        <w:t>;</w:t>
      </w:r>
      <w:r w:rsidR="002B4E34" w:rsidRPr="00536E8A">
        <w:rPr>
          <w:bCs/>
          <w:lang w:val="en-GB"/>
        </w:rPr>
        <w:t xml:space="preserve"> </w:t>
      </w:r>
      <w:r w:rsidR="002B4E34" w:rsidRPr="00536E8A">
        <w:rPr>
          <w:bCs/>
        </w:rPr>
        <w:t>Halai et al</w:t>
      </w:r>
      <w:r w:rsidR="002B4E34">
        <w:rPr>
          <w:bCs/>
        </w:rPr>
        <w:t xml:space="preserve">., </w:t>
      </w:r>
      <w:r w:rsidR="002B4E34" w:rsidRPr="00536E8A">
        <w:rPr>
          <w:bCs/>
        </w:rPr>
        <w:t>2017, 2018</w:t>
      </w:r>
      <w:r w:rsidR="002B4E34" w:rsidRPr="00536E8A">
        <w:rPr>
          <w:bCs/>
          <w:lang w:val="en-GB"/>
        </w:rPr>
        <w:t>)</w:t>
      </w:r>
      <w:r w:rsidR="00EC446B">
        <w:rPr>
          <w:bCs/>
          <w:lang w:val="en-GB"/>
        </w:rPr>
        <w:t>, and also</w:t>
      </w:r>
      <w:r w:rsidR="002B4E34">
        <w:rPr>
          <w:bCs/>
          <w:lang w:val="en-GB"/>
        </w:rPr>
        <w:t xml:space="preserve"> </w:t>
      </w:r>
      <w:r w:rsidR="00EC446B">
        <w:rPr>
          <w:bCs/>
          <w:lang w:val="en-GB"/>
        </w:rPr>
        <w:t xml:space="preserve">in </w:t>
      </w:r>
      <w:r w:rsidR="002B4E34">
        <w:rPr>
          <w:bCs/>
          <w:lang w:val="en-GB"/>
        </w:rPr>
        <w:t xml:space="preserve">more </w:t>
      </w:r>
      <w:r w:rsidR="002B4E34">
        <w:rPr>
          <w:lang w:val="en-AU"/>
        </w:rPr>
        <w:t xml:space="preserve">specific measures of articulatory-motor planning that focus on the phonetic </w:t>
      </w:r>
      <w:r w:rsidR="00905BAF">
        <w:rPr>
          <w:lang w:val="en-AU"/>
        </w:rPr>
        <w:t>quality</w:t>
      </w:r>
      <w:r w:rsidR="002B4E34">
        <w:rPr>
          <w:lang w:val="en-AU"/>
        </w:rPr>
        <w:t xml:space="preserve"> </w:t>
      </w:r>
      <w:r w:rsidR="00375297">
        <w:rPr>
          <w:lang w:val="en-AU"/>
        </w:rPr>
        <w:t xml:space="preserve">of speech and/or its error </w:t>
      </w:r>
      <w:r w:rsidR="00285463">
        <w:rPr>
          <w:lang w:val="en-AU"/>
        </w:rPr>
        <w:t>characteristics</w:t>
      </w:r>
      <w:r w:rsidR="002B4E34">
        <w:rPr>
          <w:lang w:val="en-AU"/>
        </w:rPr>
        <w:t xml:space="preserve"> (</w:t>
      </w:r>
      <w:r w:rsidR="002B4E34" w:rsidRPr="00046C70">
        <w:rPr>
          <w:lang w:val="en-AU"/>
        </w:rPr>
        <w:t>Baldo et al., 2011; Henseler, Regenbrecht &amp; Obrig, 2014; Itabashi et al., 2016</w:t>
      </w:r>
      <w:r w:rsidR="002B4E34">
        <w:rPr>
          <w:lang w:val="en-AU"/>
        </w:rPr>
        <w:t>; but see also Mirman et al., 2019</w:t>
      </w:r>
      <w:r w:rsidR="00436B59">
        <w:rPr>
          <w:lang w:val="en-AU"/>
        </w:rPr>
        <w:t>,</w:t>
      </w:r>
      <w:r w:rsidR="002B4E34">
        <w:rPr>
          <w:lang w:val="en-AU"/>
        </w:rPr>
        <w:t xml:space="preserve"> for contrasting findings using a </w:t>
      </w:r>
      <w:r w:rsidR="00D049AB">
        <w:rPr>
          <w:lang w:val="en-AU"/>
        </w:rPr>
        <w:t>picture naming</w:t>
      </w:r>
      <w:r w:rsidR="002B4E34">
        <w:rPr>
          <w:lang w:val="en-AU"/>
        </w:rPr>
        <w:t xml:space="preserve"> task</w:t>
      </w:r>
      <w:r w:rsidR="002B4E34" w:rsidRPr="00046C70">
        <w:rPr>
          <w:lang w:val="en-AU"/>
        </w:rPr>
        <w:t>)</w:t>
      </w:r>
      <w:r w:rsidR="002B4E34">
        <w:rPr>
          <w:bCs/>
          <w:lang w:val="en-GB"/>
        </w:rPr>
        <w:t xml:space="preserve">. </w:t>
      </w:r>
      <w:r w:rsidR="00AF7DF1">
        <w:rPr>
          <w:bCs/>
          <w:lang w:val="en-GB"/>
        </w:rPr>
        <w:t xml:space="preserve">However, </w:t>
      </w:r>
      <w:r w:rsidR="00C03FE1">
        <w:rPr>
          <w:bCs/>
          <w:lang w:val="en-GB"/>
        </w:rPr>
        <w:t xml:space="preserve">unlike several </w:t>
      </w:r>
      <w:r w:rsidR="00526C0C">
        <w:rPr>
          <w:bCs/>
          <w:lang w:val="en-GB"/>
        </w:rPr>
        <w:t>previous studies</w:t>
      </w:r>
      <w:r w:rsidR="00C03FE1">
        <w:rPr>
          <w:bCs/>
          <w:lang w:val="en-GB"/>
        </w:rPr>
        <w:t xml:space="preserve"> that </w:t>
      </w:r>
      <w:r w:rsidR="00526C0C">
        <w:rPr>
          <w:bCs/>
          <w:lang w:val="en-GB"/>
        </w:rPr>
        <w:t xml:space="preserve">have also </w:t>
      </w:r>
      <w:r w:rsidR="003F328C">
        <w:rPr>
          <w:bCs/>
          <w:lang w:val="en-GB"/>
        </w:rPr>
        <w:t>implicated</w:t>
      </w:r>
      <w:r w:rsidR="00526C0C">
        <w:rPr>
          <w:bCs/>
          <w:lang w:val="en-GB"/>
        </w:rPr>
        <w:t xml:space="preserve"> the LIFG</w:t>
      </w:r>
      <w:r w:rsidR="00C03FE1">
        <w:rPr>
          <w:bCs/>
          <w:lang w:val="en-GB"/>
        </w:rPr>
        <w:t xml:space="preserve"> </w:t>
      </w:r>
      <w:r w:rsidR="00436B59">
        <w:rPr>
          <w:bCs/>
          <w:lang w:val="en-GB"/>
        </w:rPr>
        <w:t>in</w:t>
      </w:r>
      <w:r w:rsidR="00C03FE1">
        <w:rPr>
          <w:bCs/>
          <w:lang w:val="en-GB"/>
        </w:rPr>
        <w:t xml:space="preserve"> speech rate</w:t>
      </w:r>
      <w:r w:rsidR="00526C0C">
        <w:rPr>
          <w:bCs/>
          <w:lang w:val="en-GB"/>
        </w:rPr>
        <w:t xml:space="preserve"> </w:t>
      </w:r>
      <w:r w:rsidR="00C03FE1">
        <w:rPr>
          <w:bCs/>
          <w:lang w:val="en-GB"/>
        </w:rPr>
        <w:t>and</w:t>
      </w:r>
      <w:r w:rsidR="00AF7DF1">
        <w:rPr>
          <w:bCs/>
          <w:lang w:val="en-GB"/>
        </w:rPr>
        <w:t xml:space="preserve"> </w:t>
      </w:r>
      <w:r w:rsidR="00375297">
        <w:rPr>
          <w:bCs/>
          <w:lang w:val="en-GB"/>
        </w:rPr>
        <w:t xml:space="preserve">grammatical content </w:t>
      </w:r>
      <w:r w:rsidR="00436B59">
        <w:rPr>
          <w:bCs/>
          <w:lang w:val="en-GB"/>
        </w:rPr>
        <w:t xml:space="preserve">measures </w:t>
      </w:r>
      <w:r w:rsidR="00AF7DF1">
        <w:rPr>
          <w:bCs/>
          <w:lang w:val="en-GB"/>
        </w:rPr>
        <w:t>(Ding et al., 2020; den Ouden et al., 2019)</w:t>
      </w:r>
      <w:r w:rsidR="00526C0C">
        <w:rPr>
          <w:bCs/>
          <w:lang w:val="en-GB"/>
        </w:rPr>
        <w:t xml:space="preserve">, </w:t>
      </w:r>
      <w:r w:rsidR="00C03FE1">
        <w:rPr>
          <w:bCs/>
          <w:lang w:val="en-GB"/>
        </w:rPr>
        <w:t xml:space="preserve">we found little evidence </w:t>
      </w:r>
      <w:r w:rsidR="00436B59">
        <w:rPr>
          <w:bCs/>
          <w:lang w:val="en-GB"/>
        </w:rPr>
        <w:t xml:space="preserve">of </w:t>
      </w:r>
      <w:r w:rsidR="00C03FE1">
        <w:rPr>
          <w:bCs/>
          <w:lang w:val="en-GB"/>
        </w:rPr>
        <w:t>LIFG involvement</w:t>
      </w:r>
      <w:r w:rsidR="00375297">
        <w:rPr>
          <w:bCs/>
          <w:lang w:val="en-GB"/>
        </w:rPr>
        <w:t xml:space="preserve"> in any of the </w:t>
      </w:r>
      <w:r w:rsidR="00285463">
        <w:rPr>
          <w:bCs/>
          <w:lang w:val="en-GB"/>
        </w:rPr>
        <w:t>measures</w:t>
      </w:r>
      <w:r w:rsidR="00375297">
        <w:rPr>
          <w:bCs/>
          <w:lang w:val="en-GB"/>
        </w:rPr>
        <w:t xml:space="preserve"> in this cluster</w:t>
      </w:r>
      <w:r w:rsidR="00AF7DF1">
        <w:rPr>
          <w:bCs/>
          <w:lang w:val="en-GB"/>
        </w:rPr>
        <w:t xml:space="preserve">. </w:t>
      </w:r>
      <w:r w:rsidR="002B4E34">
        <w:rPr>
          <w:bCs/>
          <w:lang w:val="en-GB"/>
        </w:rPr>
        <w:t>Subcortically</w:t>
      </w:r>
      <w:r w:rsidR="00E63B18">
        <w:rPr>
          <w:bCs/>
          <w:lang w:val="en-GB"/>
        </w:rPr>
        <w:t xml:space="preserve">, </w:t>
      </w:r>
      <w:r w:rsidR="00E63B18" w:rsidRPr="000E252B">
        <w:rPr>
          <w:bCs/>
          <w:lang w:val="en-GB"/>
        </w:rPr>
        <w:t>th</w:t>
      </w:r>
      <w:r w:rsidR="00E63B18">
        <w:rPr>
          <w:bCs/>
          <w:lang w:val="en-GB"/>
        </w:rPr>
        <w:t>e territory</w:t>
      </w:r>
      <w:r w:rsidR="00E63B18" w:rsidRPr="000E252B">
        <w:rPr>
          <w:bCs/>
          <w:lang w:val="en-GB"/>
        </w:rPr>
        <w:t xml:space="preserve"> of the </w:t>
      </w:r>
      <w:r w:rsidR="00E63B18">
        <w:rPr>
          <w:bCs/>
          <w:lang w:val="en-GB"/>
        </w:rPr>
        <w:t xml:space="preserve">superior longitudinal fasciculus (bundle 3) </w:t>
      </w:r>
      <w:r w:rsidR="00436B59">
        <w:rPr>
          <w:bCs/>
          <w:lang w:val="en-GB"/>
        </w:rPr>
        <w:t xml:space="preserve">was implicated in all three maps, </w:t>
      </w:r>
      <w:r w:rsidR="00E63B18">
        <w:rPr>
          <w:bCs/>
          <w:lang w:val="en-GB"/>
        </w:rPr>
        <w:t xml:space="preserve">but the map </w:t>
      </w:r>
      <w:r w:rsidR="002E3E5B">
        <w:rPr>
          <w:bCs/>
          <w:lang w:val="en-GB"/>
        </w:rPr>
        <w:t xml:space="preserve">for speech rate </w:t>
      </w:r>
      <w:r w:rsidR="00E446DC">
        <w:rPr>
          <w:bCs/>
          <w:lang w:val="en-GB"/>
        </w:rPr>
        <w:t xml:space="preserve">extended </w:t>
      </w:r>
      <w:r w:rsidR="00436B59">
        <w:rPr>
          <w:bCs/>
          <w:lang w:val="en-GB"/>
        </w:rPr>
        <w:t>had the greatest extension</w:t>
      </w:r>
      <w:r w:rsidR="00E63B18">
        <w:rPr>
          <w:bCs/>
          <w:lang w:val="en-GB"/>
        </w:rPr>
        <w:t xml:space="preserve"> </w:t>
      </w:r>
      <w:r w:rsidR="00E446DC">
        <w:rPr>
          <w:bCs/>
          <w:lang w:val="en-GB"/>
        </w:rPr>
        <w:t>into</w:t>
      </w:r>
      <w:r w:rsidR="00E63B18">
        <w:rPr>
          <w:bCs/>
          <w:lang w:val="en-GB"/>
        </w:rPr>
        <w:t xml:space="preserve"> the frontal aslant tract</w:t>
      </w:r>
      <w:r w:rsidR="00436B59">
        <w:rPr>
          <w:bCs/>
          <w:lang w:val="en-GB"/>
        </w:rPr>
        <w:t>.</w:t>
      </w:r>
      <w:r w:rsidR="00DD073D" w:rsidRPr="00DD073D">
        <w:rPr>
          <w:szCs w:val="22"/>
        </w:rPr>
        <w:t xml:space="preserve"> </w:t>
      </w:r>
      <w:r w:rsidR="00506208">
        <w:rPr>
          <w:szCs w:val="22"/>
        </w:rPr>
        <w:t xml:space="preserve">Our finding, of greater frontal aslant tract involvement in a generic speech rate measure than in a more specific measure of speech articulatory quality, is consistent with </w:t>
      </w:r>
      <w:r w:rsidR="00436B59">
        <w:rPr>
          <w:szCs w:val="22"/>
        </w:rPr>
        <w:t>the view that this tract is involved in processes that lie upstream from articulatory-motor planning (</w:t>
      </w:r>
      <w:r w:rsidR="00436B59" w:rsidRPr="00DD073D">
        <w:rPr>
          <w:szCs w:val="22"/>
        </w:rPr>
        <w:t>Chernoff</w:t>
      </w:r>
      <w:r w:rsidR="00436B59">
        <w:rPr>
          <w:szCs w:val="22"/>
        </w:rPr>
        <w:t xml:space="preserve"> et al., </w:t>
      </w:r>
      <w:r w:rsidR="00436B59" w:rsidRPr="00DD073D">
        <w:rPr>
          <w:szCs w:val="22"/>
        </w:rPr>
        <w:t>2019)</w:t>
      </w:r>
      <w:r w:rsidR="00506208">
        <w:rPr>
          <w:szCs w:val="22"/>
        </w:rPr>
        <w:t>.</w:t>
      </w:r>
      <w:r w:rsidR="00506208" w:rsidRPr="00DD073D">
        <w:rPr>
          <w:szCs w:val="22"/>
        </w:rPr>
        <w:t xml:space="preserve"> </w:t>
      </w:r>
    </w:p>
    <w:p w14:paraId="5CF76315" w14:textId="3CBA7D56" w:rsidR="002931FB" w:rsidRDefault="00285463" w:rsidP="002E3E5B">
      <w:pPr>
        <w:spacing w:line="480" w:lineRule="auto"/>
        <w:ind w:firstLine="720"/>
        <w:rPr>
          <w:lang w:val="en-AU"/>
        </w:rPr>
      </w:pPr>
      <w:r>
        <w:t>T</w:t>
      </w:r>
      <w:r w:rsidR="00102C4A">
        <w:t>urn</w:t>
      </w:r>
      <w:r>
        <w:t>ing</w:t>
      </w:r>
      <w:r w:rsidR="00375297">
        <w:t xml:space="preserve"> now to the</w:t>
      </w:r>
      <w:r w:rsidR="00526C0C">
        <w:t xml:space="preserve"> </w:t>
      </w:r>
      <w:r w:rsidR="00EC446B">
        <w:t xml:space="preserve">two </w:t>
      </w:r>
      <w:r w:rsidR="00526C0C">
        <w:t>measures in our</w:t>
      </w:r>
      <w:r w:rsidR="002931FB">
        <w:t xml:space="preserve"> </w:t>
      </w:r>
      <w:r w:rsidR="002931FB" w:rsidRPr="00375297">
        <w:rPr>
          <w:i/>
          <w:iCs/>
        </w:rPr>
        <w:t>context sensitivity</w:t>
      </w:r>
      <w:r w:rsidR="002931FB">
        <w:t xml:space="preserve"> </w:t>
      </w:r>
      <w:r w:rsidR="00526C0C">
        <w:t>cluster</w:t>
      </w:r>
      <w:r w:rsidR="00375297">
        <w:t xml:space="preserve">, both </w:t>
      </w:r>
      <w:r w:rsidR="002931FB">
        <w:t xml:space="preserve">were </w:t>
      </w:r>
      <w:r w:rsidR="00512782">
        <w:rPr>
          <w:bCs/>
          <w:lang w:val="en-GB"/>
        </w:rPr>
        <w:t xml:space="preserve">associated with damage to a </w:t>
      </w:r>
      <w:r w:rsidR="002931FB">
        <w:rPr>
          <w:bCs/>
          <w:lang w:val="en-GB"/>
        </w:rPr>
        <w:t xml:space="preserve">more anterior </w:t>
      </w:r>
      <w:r w:rsidR="00512782">
        <w:rPr>
          <w:bCs/>
          <w:lang w:val="en-GB"/>
        </w:rPr>
        <w:t xml:space="preserve">region encompassing the left </w:t>
      </w:r>
      <w:r w:rsidR="007A43CD">
        <w:rPr>
          <w:bCs/>
          <w:lang w:val="en-GB"/>
        </w:rPr>
        <w:t xml:space="preserve">middle frontal gyrus, the LIFG (pars opercularis) and </w:t>
      </w:r>
      <w:r w:rsidR="002931FB">
        <w:rPr>
          <w:bCs/>
          <w:lang w:val="en-GB"/>
        </w:rPr>
        <w:t xml:space="preserve">with extension into </w:t>
      </w:r>
      <w:r w:rsidR="007A43CD">
        <w:rPr>
          <w:bCs/>
          <w:lang w:val="en-GB"/>
        </w:rPr>
        <w:t xml:space="preserve">the </w:t>
      </w:r>
      <w:r w:rsidR="00512782">
        <w:rPr>
          <w:bCs/>
          <w:lang w:val="en-GB"/>
        </w:rPr>
        <w:t xml:space="preserve">postcentral and precentral gyri. </w:t>
      </w:r>
      <w:r w:rsidR="00436B59">
        <w:t xml:space="preserve"> </w:t>
      </w:r>
      <w:r w:rsidR="00436B59">
        <w:rPr>
          <w:bCs/>
          <w:lang w:val="en-GB"/>
        </w:rPr>
        <w:t xml:space="preserve">Importantly, the left insula and central operculum were not heavily implicated, suggesting they index distinctly different cognitive impairments when compared to the fluency and grammatically measures. Subcortically, the maps for the context sensitivity measures overlapped extensively with the territory of the superior longitudinal fasciculus and to a lesser extent, that of the frontal aslant tract. </w:t>
      </w:r>
      <w:r w:rsidR="002B4E34">
        <w:rPr>
          <w:bCs/>
          <w:lang w:val="en-GB"/>
        </w:rPr>
        <w:t xml:space="preserve">The </w:t>
      </w:r>
      <w:r w:rsidR="00436B59">
        <w:rPr>
          <w:bCs/>
          <w:lang w:val="en-GB"/>
        </w:rPr>
        <w:t>observed involvement of the LIFG</w:t>
      </w:r>
      <w:r w:rsidR="002B4E34">
        <w:rPr>
          <w:bCs/>
          <w:lang w:val="en-GB"/>
        </w:rPr>
        <w:t xml:space="preserve"> </w:t>
      </w:r>
      <w:r w:rsidR="00436B59">
        <w:rPr>
          <w:bCs/>
          <w:lang w:val="en-GB"/>
        </w:rPr>
        <w:t>in our</w:t>
      </w:r>
      <w:r w:rsidR="002B4E34">
        <w:rPr>
          <w:bCs/>
          <w:lang w:val="en-GB"/>
        </w:rPr>
        <w:t xml:space="preserve"> cyclic naming measure </w:t>
      </w:r>
      <w:r w:rsidR="00436B59">
        <w:rPr>
          <w:bCs/>
          <w:lang w:val="en-GB"/>
        </w:rPr>
        <w:t>is</w:t>
      </w:r>
      <w:r w:rsidR="002B4E34">
        <w:rPr>
          <w:bCs/>
          <w:lang w:val="en-GB"/>
        </w:rPr>
        <w:t xml:space="preserve"> consistent with previous studies</w:t>
      </w:r>
      <w:r w:rsidR="00526C0C">
        <w:rPr>
          <w:bCs/>
          <w:lang w:val="en-GB"/>
        </w:rPr>
        <w:t xml:space="preserve"> </w:t>
      </w:r>
      <w:r w:rsidR="002B4E34">
        <w:rPr>
          <w:bCs/>
          <w:lang w:val="en-GB"/>
        </w:rPr>
        <w:t xml:space="preserve">that have found associations between LIFG damage and the cumulative semantic interference effect </w:t>
      </w:r>
      <w:r w:rsidR="003F328C">
        <w:rPr>
          <w:bCs/>
          <w:lang w:val="en-GB"/>
        </w:rPr>
        <w:t>in</w:t>
      </w:r>
      <w:r w:rsidR="00526C0C">
        <w:rPr>
          <w:bCs/>
          <w:lang w:val="en-GB"/>
        </w:rPr>
        <w:t xml:space="preserve"> this paradigm </w:t>
      </w:r>
      <w:r w:rsidR="002B4E34">
        <w:rPr>
          <w:bCs/>
          <w:lang w:val="en-GB"/>
        </w:rPr>
        <w:t>(Anders et al., 2017</w:t>
      </w:r>
      <w:r w:rsidR="00526C0C">
        <w:rPr>
          <w:bCs/>
          <w:lang w:val="en-GB"/>
        </w:rPr>
        <w:t>;</w:t>
      </w:r>
      <w:r w:rsidR="002B4E34">
        <w:rPr>
          <w:bCs/>
          <w:lang w:val="en-GB"/>
        </w:rPr>
        <w:t xml:space="preserve"> </w:t>
      </w:r>
      <w:r w:rsidR="002B4E34" w:rsidRPr="00C46368">
        <w:t>Schnur et al., 2005</w:t>
      </w:r>
      <w:r w:rsidR="002B4E34">
        <w:t>, 2009).</w:t>
      </w:r>
      <w:r w:rsidR="00436B59">
        <w:t xml:space="preserve"> </w:t>
      </w:r>
      <w:r w:rsidR="002931FB">
        <w:rPr>
          <w:lang w:val="en-AU"/>
        </w:rPr>
        <w:t>The maps for the rem</w:t>
      </w:r>
      <w:r w:rsidR="00AF7DF1">
        <w:rPr>
          <w:lang w:val="en-AU"/>
        </w:rPr>
        <w:t>a</w:t>
      </w:r>
      <w:r w:rsidR="002931FB">
        <w:rPr>
          <w:lang w:val="en-AU"/>
        </w:rPr>
        <w:t>ining “</w:t>
      </w:r>
      <w:r w:rsidR="00E43965">
        <w:rPr>
          <w:lang w:val="en-AU"/>
        </w:rPr>
        <w:t>mixed</w:t>
      </w:r>
      <w:r w:rsidR="002931FB">
        <w:rPr>
          <w:lang w:val="en-AU"/>
        </w:rPr>
        <w:t xml:space="preserve">” </w:t>
      </w:r>
      <w:r w:rsidR="00E43965">
        <w:rPr>
          <w:lang w:val="en-AU"/>
        </w:rPr>
        <w:lastRenderedPageBreak/>
        <w:t>measures</w:t>
      </w:r>
      <w:r w:rsidR="002931FB">
        <w:rPr>
          <w:lang w:val="en-AU"/>
        </w:rPr>
        <w:t xml:space="preserve"> tended to be broader, extending across both areas </w:t>
      </w:r>
      <w:r w:rsidR="00E43965">
        <w:rPr>
          <w:lang w:val="en-AU"/>
        </w:rPr>
        <w:t>identified</w:t>
      </w:r>
      <w:r w:rsidR="002931FB">
        <w:rPr>
          <w:lang w:val="en-AU"/>
        </w:rPr>
        <w:t xml:space="preserve"> in the maps for the two </w:t>
      </w:r>
      <w:r w:rsidR="00E63B18">
        <w:rPr>
          <w:lang w:val="en-AU"/>
        </w:rPr>
        <w:t xml:space="preserve">main </w:t>
      </w:r>
      <w:r w:rsidR="00E43965">
        <w:rPr>
          <w:lang w:val="en-AU"/>
        </w:rPr>
        <w:t>clusters</w:t>
      </w:r>
      <w:r w:rsidR="003811F5">
        <w:rPr>
          <w:lang w:val="en-AU"/>
        </w:rPr>
        <w:t xml:space="preserve">, but </w:t>
      </w:r>
      <w:r w:rsidR="000E285C">
        <w:rPr>
          <w:lang w:val="en-AU"/>
        </w:rPr>
        <w:t>subcortically</w:t>
      </w:r>
      <w:r w:rsidR="003811F5">
        <w:rPr>
          <w:lang w:val="en-AU"/>
        </w:rPr>
        <w:t xml:space="preserve">, encroaching more substantially on the </w:t>
      </w:r>
      <w:r w:rsidR="000E285C">
        <w:rPr>
          <w:lang w:val="en-AU"/>
        </w:rPr>
        <w:t>territory</w:t>
      </w:r>
      <w:r w:rsidR="003811F5">
        <w:rPr>
          <w:lang w:val="en-AU"/>
        </w:rPr>
        <w:t xml:space="preserve"> </w:t>
      </w:r>
      <w:r w:rsidR="000E285C">
        <w:rPr>
          <w:lang w:val="en-AU"/>
        </w:rPr>
        <w:t>of</w:t>
      </w:r>
      <w:r w:rsidR="003811F5">
        <w:rPr>
          <w:lang w:val="en-AU"/>
        </w:rPr>
        <w:t xml:space="preserve"> the </w:t>
      </w:r>
      <w:r w:rsidR="000E285C">
        <w:rPr>
          <w:lang w:val="en-AU"/>
        </w:rPr>
        <w:t>frontal</w:t>
      </w:r>
      <w:r w:rsidR="003811F5">
        <w:rPr>
          <w:lang w:val="en-AU"/>
        </w:rPr>
        <w:t xml:space="preserve"> aslant tract</w:t>
      </w:r>
      <w:r w:rsidR="002931FB">
        <w:rPr>
          <w:lang w:val="en-AU"/>
        </w:rPr>
        <w:t xml:space="preserve">.  </w:t>
      </w:r>
    </w:p>
    <w:p w14:paraId="5997C827" w14:textId="7938723A" w:rsidR="00482B6D" w:rsidRDefault="00EC446B" w:rsidP="00512782">
      <w:pPr>
        <w:spacing w:line="480" w:lineRule="auto"/>
        <w:ind w:firstLine="720"/>
        <w:rPr>
          <w:lang w:val="en-AU"/>
        </w:rPr>
      </w:pPr>
      <w:r>
        <w:rPr>
          <w:lang w:val="en-AU"/>
        </w:rPr>
        <w:t>Finally, t</w:t>
      </w:r>
      <w:r w:rsidR="00482B6D">
        <w:rPr>
          <w:lang w:val="en-AU"/>
        </w:rPr>
        <w:t>o test the specificity</w:t>
      </w:r>
      <w:r w:rsidR="00D86C10">
        <w:rPr>
          <w:lang w:val="en-AU"/>
        </w:rPr>
        <w:t xml:space="preserve"> of </w:t>
      </w:r>
      <w:r w:rsidR="00526C0C">
        <w:rPr>
          <w:lang w:val="en-AU"/>
        </w:rPr>
        <w:t>the</w:t>
      </w:r>
      <w:r w:rsidR="00D86C10">
        <w:rPr>
          <w:lang w:val="en-AU"/>
        </w:rPr>
        <w:t xml:space="preserve"> lesion-behaviour associations</w:t>
      </w:r>
      <w:r w:rsidR="00526C0C">
        <w:rPr>
          <w:lang w:val="en-AU"/>
        </w:rPr>
        <w:t xml:space="preserve"> obtained in this study</w:t>
      </w:r>
      <w:r w:rsidR="00832A5E">
        <w:rPr>
          <w:lang w:val="en-AU"/>
        </w:rPr>
        <w:t xml:space="preserve">, we examined the lesion maps for </w:t>
      </w:r>
      <w:r w:rsidR="002931FB">
        <w:rPr>
          <w:lang w:val="en-AU"/>
        </w:rPr>
        <w:t>two</w:t>
      </w:r>
      <w:r w:rsidR="00832A5E">
        <w:rPr>
          <w:lang w:val="en-AU"/>
        </w:rPr>
        <w:t xml:space="preserve"> measures that have previously been associated with posterior left hemisphere damage. </w:t>
      </w:r>
      <w:r w:rsidR="009D646A">
        <w:rPr>
          <w:lang w:val="en-AU"/>
        </w:rPr>
        <w:t>N</w:t>
      </w:r>
      <w:r w:rsidR="002931FB">
        <w:rPr>
          <w:lang w:val="en-AU"/>
        </w:rPr>
        <w:t>either</w:t>
      </w:r>
      <w:r w:rsidR="00B2406D">
        <w:rPr>
          <w:lang w:val="en-AU"/>
        </w:rPr>
        <w:t xml:space="preserve"> </w:t>
      </w:r>
      <w:r w:rsidR="00436B59">
        <w:rPr>
          <w:lang w:val="en-AU"/>
        </w:rPr>
        <w:t>map</w:t>
      </w:r>
      <w:r w:rsidR="00526C0C">
        <w:rPr>
          <w:lang w:val="en-AU"/>
        </w:rPr>
        <w:t xml:space="preserve"> </w:t>
      </w:r>
      <w:r w:rsidR="002931FB">
        <w:rPr>
          <w:lang w:val="en-AU"/>
        </w:rPr>
        <w:t xml:space="preserve">shared any </w:t>
      </w:r>
      <w:r w:rsidR="00E43965">
        <w:rPr>
          <w:lang w:val="en-AU"/>
        </w:rPr>
        <w:t>overlap</w:t>
      </w:r>
      <w:r w:rsidR="002931FB">
        <w:rPr>
          <w:lang w:val="en-AU"/>
        </w:rPr>
        <w:t xml:space="preserve"> </w:t>
      </w:r>
      <w:r w:rsidR="00B2406D">
        <w:rPr>
          <w:lang w:val="en-AU"/>
        </w:rPr>
        <w:t xml:space="preserve">with </w:t>
      </w:r>
      <w:r w:rsidR="00436B59">
        <w:rPr>
          <w:lang w:val="en-AU"/>
        </w:rPr>
        <w:t>those of our</w:t>
      </w:r>
      <w:r w:rsidR="00B2406D">
        <w:rPr>
          <w:lang w:val="en-AU"/>
        </w:rPr>
        <w:t xml:space="preserve"> measures of interest</w:t>
      </w:r>
      <w:r w:rsidR="00512782">
        <w:rPr>
          <w:lang w:val="en-AU"/>
        </w:rPr>
        <w:t xml:space="preserve">. </w:t>
      </w:r>
      <w:r w:rsidR="00D86C10">
        <w:rPr>
          <w:lang w:val="en-AU"/>
        </w:rPr>
        <w:t xml:space="preserve">These findings suggest that the lesion maps observed in our main analyses were highly specific to the measures examined. </w:t>
      </w:r>
    </w:p>
    <w:p w14:paraId="7BD22C5C" w14:textId="6DBDBC92" w:rsidR="00F026C8" w:rsidRDefault="00512782" w:rsidP="001F7D9E">
      <w:pPr>
        <w:spacing w:line="480" w:lineRule="auto"/>
        <w:ind w:firstLine="720"/>
        <w:rPr>
          <w:lang w:val="en-AU"/>
        </w:rPr>
      </w:pPr>
      <w:r>
        <w:rPr>
          <w:lang w:val="en-AU"/>
        </w:rPr>
        <w:t xml:space="preserve">Our behavioural and lesion data, considered as a whole, suggest there are likely to be at least two cognitive </w:t>
      </w:r>
      <w:r w:rsidR="00436B59">
        <w:rPr>
          <w:lang w:val="en-AU"/>
        </w:rPr>
        <w:t>difficulties</w:t>
      </w:r>
      <w:r w:rsidR="00E90A9E">
        <w:rPr>
          <w:lang w:val="en-AU"/>
        </w:rPr>
        <w:t xml:space="preserve"> </w:t>
      </w:r>
      <w:r w:rsidR="000E285C">
        <w:rPr>
          <w:lang w:val="en-AU"/>
        </w:rPr>
        <w:t>contributing</w:t>
      </w:r>
      <w:r>
        <w:rPr>
          <w:lang w:val="en-AU"/>
        </w:rPr>
        <w:t xml:space="preserve"> to the </w:t>
      </w:r>
      <w:r w:rsidR="00B2406D">
        <w:rPr>
          <w:lang w:val="en-AU"/>
        </w:rPr>
        <w:t xml:space="preserve">speech </w:t>
      </w:r>
      <w:r w:rsidR="00436B59">
        <w:rPr>
          <w:lang w:val="en-AU"/>
        </w:rPr>
        <w:t>abnormal</w:t>
      </w:r>
      <w:r w:rsidR="00DE36EF">
        <w:rPr>
          <w:lang w:val="en-AU"/>
        </w:rPr>
        <w:t>iti</w:t>
      </w:r>
      <w:r w:rsidR="00436B59">
        <w:rPr>
          <w:lang w:val="en-AU"/>
        </w:rPr>
        <w:t>es</w:t>
      </w:r>
      <w:r w:rsidR="00375297">
        <w:rPr>
          <w:lang w:val="en-AU"/>
        </w:rPr>
        <w:t xml:space="preserve"> observed</w:t>
      </w:r>
      <w:r>
        <w:rPr>
          <w:lang w:val="en-AU"/>
        </w:rPr>
        <w:t xml:space="preserve"> in nonfluent aphasia. The first is</w:t>
      </w:r>
      <w:r w:rsidR="00E90A9E">
        <w:rPr>
          <w:lang w:val="en-AU"/>
        </w:rPr>
        <w:t xml:space="preserve"> </w:t>
      </w:r>
      <w:r w:rsidR="00436B59">
        <w:rPr>
          <w:lang w:val="en-AU"/>
        </w:rPr>
        <w:t xml:space="preserve">a general slowing of speech planning process, </w:t>
      </w:r>
      <w:r w:rsidR="000E285C">
        <w:rPr>
          <w:lang w:val="en-AU"/>
        </w:rPr>
        <w:t>associated</w:t>
      </w:r>
      <w:r w:rsidR="00E90A9E">
        <w:rPr>
          <w:lang w:val="en-AU"/>
        </w:rPr>
        <w:t xml:space="preserve"> with damage to central left hemisphere structures such the left insula and the central operculum</w:t>
      </w:r>
      <w:r w:rsidR="00436B59">
        <w:rPr>
          <w:lang w:val="en-AU"/>
        </w:rPr>
        <w:t xml:space="preserve">. </w:t>
      </w:r>
      <w:r w:rsidR="00506208">
        <w:rPr>
          <w:lang w:val="en-AU"/>
        </w:rPr>
        <w:t xml:space="preserve">Given that </w:t>
      </w:r>
      <w:r w:rsidR="00436B59">
        <w:rPr>
          <w:lang w:val="en-AU"/>
        </w:rPr>
        <w:t>that behaviours associated with this difficulty include reduced</w:t>
      </w:r>
      <w:r w:rsidR="00506208">
        <w:rPr>
          <w:lang w:val="en-AU"/>
        </w:rPr>
        <w:t xml:space="preserve"> </w:t>
      </w:r>
      <w:r w:rsidR="00436B59">
        <w:rPr>
          <w:lang w:val="en-AU"/>
        </w:rPr>
        <w:t xml:space="preserve">speech </w:t>
      </w:r>
      <w:r w:rsidR="00506208">
        <w:rPr>
          <w:lang w:val="en-AU"/>
        </w:rPr>
        <w:t xml:space="preserve">articulatory quality, and given </w:t>
      </w:r>
      <w:r w:rsidR="00436B59">
        <w:rPr>
          <w:lang w:val="en-AU"/>
        </w:rPr>
        <w:t xml:space="preserve">that </w:t>
      </w:r>
      <w:r w:rsidR="00506208">
        <w:rPr>
          <w:lang w:val="en-AU"/>
        </w:rPr>
        <w:t>the left insula has previously been implicated in articulatory-motor planning specifically (</w:t>
      </w:r>
      <w:r w:rsidR="00506208" w:rsidRPr="00046C70">
        <w:rPr>
          <w:lang w:val="en-AU"/>
        </w:rPr>
        <w:t>Baldo et al., 2011; Henseler, Regenbrecht &amp; Obrig, 2014; Itabashi et al., 2016)</w:t>
      </w:r>
      <w:r w:rsidR="00506208">
        <w:rPr>
          <w:lang w:val="en-AU"/>
        </w:rPr>
        <w:t xml:space="preserve">, we suggest that a major contributor to these planning delays is impaired articulatory-motor programming. </w:t>
      </w:r>
      <w:r w:rsidR="001F7D9E">
        <w:rPr>
          <w:lang w:val="en-AU"/>
        </w:rPr>
        <w:t>T</w:t>
      </w:r>
      <w:r w:rsidR="00656A9C">
        <w:rPr>
          <w:lang w:val="en-AU"/>
        </w:rPr>
        <w:t xml:space="preserve">he finding </w:t>
      </w:r>
      <w:r w:rsidR="00601564">
        <w:rPr>
          <w:lang w:val="en-AU"/>
        </w:rPr>
        <w:t xml:space="preserve">of a </w:t>
      </w:r>
      <w:r w:rsidR="001F7D9E">
        <w:rPr>
          <w:lang w:val="en-AU"/>
        </w:rPr>
        <w:t>closed association between</w:t>
      </w:r>
      <w:r w:rsidR="00601564">
        <w:rPr>
          <w:lang w:val="en-AU"/>
        </w:rPr>
        <w:t xml:space="preserve"> </w:t>
      </w:r>
      <w:r w:rsidR="003458FA">
        <w:rPr>
          <w:lang w:val="en-AU"/>
        </w:rPr>
        <w:t xml:space="preserve">grammatical function word omission and </w:t>
      </w:r>
      <w:r w:rsidR="00601564">
        <w:rPr>
          <w:lang w:val="en-AU"/>
        </w:rPr>
        <w:t>reduced speech rate</w:t>
      </w:r>
      <w:r w:rsidR="001F7D9E">
        <w:rPr>
          <w:lang w:val="en-AU"/>
        </w:rPr>
        <w:t>/</w:t>
      </w:r>
      <w:r w:rsidR="003458FA">
        <w:rPr>
          <w:lang w:val="en-AU"/>
        </w:rPr>
        <w:t xml:space="preserve">poor articulatory </w:t>
      </w:r>
      <w:r w:rsidR="00285463">
        <w:rPr>
          <w:lang w:val="en-AU"/>
        </w:rPr>
        <w:t>quality</w:t>
      </w:r>
      <w:r w:rsidR="00601564">
        <w:rPr>
          <w:lang w:val="en-AU"/>
        </w:rPr>
        <w:t xml:space="preserve"> </w:t>
      </w:r>
      <w:r w:rsidR="00EC446B">
        <w:rPr>
          <w:lang w:val="en-AU"/>
        </w:rPr>
        <w:t xml:space="preserve">is </w:t>
      </w:r>
      <w:r w:rsidR="003773E4">
        <w:rPr>
          <w:lang w:val="en-AU"/>
        </w:rPr>
        <w:t>consistent</w:t>
      </w:r>
      <w:r w:rsidR="00EC446B">
        <w:rPr>
          <w:lang w:val="en-AU"/>
        </w:rPr>
        <w:t xml:space="preserve"> with the </w:t>
      </w:r>
      <w:r w:rsidR="001F7D9E">
        <w:rPr>
          <w:lang w:val="en-AU"/>
        </w:rPr>
        <w:t>notion</w:t>
      </w:r>
      <w:r w:rsidR="00D86C10">
        <w:rPr>
          <w:lang w:val="en-AU"/>
        </w:rPr>
        <w:t xml:space="preserve"> that “agrammatic” speech may be</w:t>
      </w:r>
      <w:r w:rsidR="009E684D">
        <w:rPr>
          <w:lang w:val="en-AU"/>
        </w:rPr>
        <w:t xml:space="preserve"> an </w:t>
      </w:r>
      <w:r w:rsidR="00832A5E">
        <w:rPr>
          <w:lang w:val="en-AU"/>
        </w:rPr>
        <w:t>adaptation</w:t>
      </w:r>
      <w:r w:rsidR="009E684D">
        <w:rPr>
          <w:lang w:val="en-AU"/>
        </w:rPr>
        <w:t xml:space="preserve"> to </w:t>
      </w:r>
      <w:r w:rsidR="00E63B18">
        <w:rPr>
          <w:lang w:val="en-AU"/>
        </w:rPr>
        <w:t xml:space="preserve">such </w:t>
      </w:r>
      <w:r w:rsidR="00601564">
        <w:rPr>
          <w:lang w:val="en-AU"/>
        </w:rPr>
        <w:t>a timing</w:t>
      </w:r>
      <w:r w:rsidR="009E684D">
        <w:rPr>
          <w:lang w:val="en-AU"/>
        </w:rPr>
        <w:t xml:space="preserve"> </w:t>
      </w:r>
      <w:r w:rsidR="00832A5E">
        <w:rPr>
          <w:lang w:val="en-AU"/>
        </w:rPr>
        <w:t>limitation</w:t>
      </w:r>
      <w:r w:rsidR="00B2406D">
        <w:rPr>
          <w:lang w:val="en-AU"/>
        </w:rPr>
        <w:t>, rather than a selective deficit in its own right</w:t>
      </w:r>
      <w:r w:rsidR="00656A9C">
        <w:rPr>
          <w:lang w:val="en-AU"/>
        </w:rPr>
        <w:t xml:space="preserve">. </w:t>
      </w:r>
      <w:r w:rsidR="004F6E54">
        <w:rPr>
          <w:lang w:val="en-AU"/>
        </w:rPr>
        <w:t>Th</w:t>
      </w:r>
      <w:r w:rsidR="00D25FF5">
        <w:rPr>
          <w:lang w:val="en-AU"/>
        </w:rPr>
        <w:t>e</w:t>
      </w:r>
      <w:r w:rsidR="004F6E54">
        <w:rPr>
          <w:lang w:val="en-AU"/>
        </w:rPr>
        <w:t xml:space="preserve"> idea </w:t>
      </w:r>
      <w:r w:rsidR="00526C0C">
        <w:rPr>
          <w:lang w:val="en-AU"/>
        </w:rPr>
        <w:t>of</w:t>
      </w:r>
      <w:r w:rsidR="004F6E54">
        <w:rPr>
          <w:lang w:val="en-AU"/>
        </w:rPr>
        <w:t xml:space="preserve"> agrammati</w:t>
      </w:r>
      <w:r w:rsidR="00E63B18">
        <w:rPr>
          <w:lang w:val="en-AU"/>
        </w:rPr>
        <w:t>sm</w:t>
      </w:r>
      <w:r w:rsidR="004F6E54">
        <w:rPr>
          <w:lang w:val="en-AU"/>
        </w:rPr>
        <w:t xml:space="preserve"> </w:t>
      </w:r>
      <w:r w:rsidR="00526C0C">
        <w:rPr>
          <w:lang w:val="en-AU"/>
        </w:rPr>
        <w:t>as</w:t>
      </w:r>
      <w:r w:rsidR="009D646A">
        <w:rPr>
          <w:lang w:val="en-AU"/>
        </w:rPr>
        <w:t xml:space="preserve"> </w:t>
      </w:r>
      <w:r w:rsidR="004F6E54">
        <w:rPr>
          <w:lang w:val="en-AU"/>
        </w:rPr>
        <w:t>a</w:t>
      </w:r>
      <w:r w:rsidR="00D86C10">
        <w:rPr>
          <w:lang w:val="en-AU"/>
        </w:rPr>
        <w:t>n adaptive</w:t>
      </w:r>
      <w:r w:rsidR="004F6E54">
        <w:rPr>
          <w:lang w:val="en-AU"/>
        </w:rPr>
        <w:t xml:space="preserve"> strategy is not new </w:t>
      </w:r>
      <w:r w:rsidR="004F6E54" w:rsidRPr="006A3E7D">
        <w:rPr>
          <w:lang w:val="en-AU"/>
        </w:rPr>
        <w:t>(Hartsuiker &amp; Kolk, 1998; Kolk &amp; Van Grunsven, 1985; Kolk, 1995, 2006</w:t>
      </w:r>
      <w:r w:rsidR="004F6E54">
        <w:rPr>
          <w:lang w:val="en-AU"/>
        </w:rPr>
        <w:t xml:space="preserve">; </w:t>
      </w:r>
      <w:r w:rsidR="004F6E54" w:rsidRPr="006A3E7D">
        <w:rPr>
          <w:lang w:val="en-AU"/>
        </w:rPr>
        <w:t>De Roo</w:t>
      </w:r>
      <w:r w:rsidR="004F6E54">
        <w:rPr>
          <w:lang w:val="en-AU"/>
        </w:rPr>
        <w:t xml:space="preserve"> et al.</w:t>
      </w:r>
      <w:r w:rsidR="004F6E54" w:rsidRPr="006A3E7D">
        <w:rPr>
          <w:lang w:val="en-AU"/>
        </w:rPr>
        <w:t xml:space="preserve">, 2003; </w:t>
      </w:r>
      <w:r w:rsidR="004F6E54">
        <w:rPr>
          <w:lang w:val="en-AU"/>
        </w:rPr>
        <w:t xml:space="preserve">Kolk &amp; Heeschen, 1996; </w:t>
      </w:r>
      <w:r w:rsidR="004F6E54" w:rsidRPr="006A3E7D">
        <w:rPr>
          <w:lang w:val="en-AU"/>
        </w:rPr>
        <w:t>Ruiter</w:t>
      </w:r>
      <w:r w:rsidR="004F6E54">
        <w:rPr>
          <w:lang w:val="en-AU"/>
        </w:rPr>
        <w:t xml:space="preserve"> et al.</w:t>
      </w:r>
      <w:r w:rsidR="004F6E54" w:rsidRPr="006A3E7D">
        <w:rPr>
          <w:lang w:val="en-AU"/>
        </w:rPr>
        <w:t>, 2010; Salis &amp; Edwards, 2004</w:t>
      </w:r>
      <w:r w:rsidR="004F6E54">
        <w:rPr>
          <w:lang w:val="en-AU"/>
        </w:rPr>
        <w:t xml:space="preserve">; </w:t>
      </w:r>
      <w:r w:rsidR="004F6E54" w:rsidRPr="003D6EFA">
        <w:rPr>
          <w:lang w:val="en-AU"/>
        </w:rPr>
        <w:t>Sahraoui &amp; Nespoulous, 2012</w:t>
      </w:r>
      <w:r w:rsidR="004F6E54" w:rsidRPr="006A3E7D">
        <w:rPr>
          <w:lang w:val="en-AU"/>
        </w:rPr>
        <w:t>)</w:t>
      </w:r>
      <w:r w:rsidR="004F6E54">
        <w:rPr>
          <w:lang w:val="en-AU"/>
        </w:rPr>
        <w:t xml:space="preserve">. </w:t>
      </w:r>
      <w:r w:rsidR="00E90A9E">
        <w:rPr>
          <w:lang w:val="en-AU"/>
        </w:rPr>
        <w:t>However, a</w:t>
      </w:r>
      <w:r w:rsidR="00D86C10">
        <w:rPr>
          <w:lang w:val="en-AU"/>
        </w:rPr>
        <w:t xml:space="preserve">ccounts vary as to the </w:t>
      </w:r>
      <w:r w:rsidR="00E90A9E">
        <w:rPr>
          <w:lang w:val="en-AU"/>
        </w:rPr>
        <w:t>nature</w:t>
      </w:r>
      <w:r w:rsidR="00D86C10">
        <w:rPr>
          <w:lang w:val="en-AU"/>
        </w:rPr>
        <w:t xml:space="preserve"> of the </w:t>
      </w:r>
      <w:r w:rsidR="00EC446B">
        <w:rPr>
          <w:lang w:val="en-AU"/>
        </w:rPr>
        <w:t xml:space="preserve">underlying </w:t>
      </w:r>
      <w:r w:rsidR="00E90A9E">
        <w:rPr>
          <w:lang w:val="en-AU"/>
        </w:rPr>
        <w:t xml:space="preserve">processing </w:t>
      </w:r>
      <w:r w:rsidR="00D86C10">
        <w:rPr>
          <w:lang w:val="en-AU"/>
        </w:rPr>
        <w:t xml:space="preserve">limitation that </w:t>
      </w:r>
      <w:r w:rsidR="00905BAF">
        <w:rPr>
          <w:lang w:val="en-AU"/>
        </w:rPr>
        <w:t>gives rise to</w:t>
      </w:r>
      <w:r w:rsidR="00E90A9E">
        <w:rPr>
          <w:lang w:val="en-AU"/>
        </w:rPr>
        <w:t xml:space="preserve"> this </w:t>
      </w:r>
      <w:r w:rsidR="000E285C">
        <w:rPr>
          <w:lang w:val="en-AU"/>
        </w:rPr>
        <w:t>strategy</w:t>
      </w:r>
      <w:r w:rsidR="00D86C10">
        <w:rPr>
          <w:lang w:val="en-AU"/>
        </w:rPr>
        <w:t xml:space="preserve">. </w:t>
      </w:r>
      <w:r w:rsidR="00E63B18">
        <w:rPr>
          <w:lang w:val="en-AU"/>
        </w:rPr>
        <w:t xml:space="preserve">The current </w:t>
      </w:r>
      <w:r w:rsidR="00E43965">
        <w:rPr>
          <w:lang w:val="en-AU"/>
        </w:rPr>
        <w:t>findings</w:t>
      </w:r>
      <w:r w:rsidR="00E63B18">
        <w:rPr>
          <w:lang w:val="en-AU"/>
        </w:rPr>
        <w:t xml:space="preserve"> </w:t>
      </w:r>
      <w:r w:rsidR="001F7D9E">
        <w:rPr>
          <w:lang w:val="en-AU"/>
        </w:rPr>
        <w:t>suggest</w:t>
      </w:r>
      <w:r w:rsidR="00482B6D">
        <w:rPr>
          <w:lang w:val="en-AU"/>
        </w:rPr>
        <w:t xml:space="preserve"> strongly </w:t>
      </w:r>
      <w:r>
        <w:rPr>
          <w:lang w:val="en-AU"/>
        </w:rPr>
        <w:t xml:space="preserve">that a </w:t>
      </w:r>
      <w:r w:rsidR="00B2406D">
        <w:rPr>
          <w:lang w:val="en-AU"/>
        </w:rPr>
        <w:t>major</w:t>
      </w:r>
      <w:r>
        <w:rPr>
          <w:lang w:val="en-AU"/>
        </w:rPr>
        <w:t xml:space="preserve"> </w:t>
      </w:r>
      <w:r w:rsidR="00482B6D">
        <w:rPr>
          <w:lang w:val="en-AU"/>
        </w:rPr>
        <w:t xml:space="preserve">source of that limitation </w:t>
      </w:r>
      <w:r w:rsidR="005F6675">
        <w:rPr>
          <w:lang w:val="en-AU"/>
        </w:rPr>
        <w:t>may be</w:t>
      </w:r>
      <w:r w:rsidR="00482B6D">
        <w:rPr>
          <w:lang w:val="en-AU"/>
        </w:rPr>
        <w:t xml:space="preserve"> at the level </w:t>
      </w:r>
      <w:r w:rsidR="004F6E54">
        <w:rPr>
          <w:lang w:val="en-AU"/>
        </w:rPr>
        <w:t>of articulatory</w:t>
      </w:r>
      <w:r>
        <w:rPr>
          <w:lang w:val="en-AU"/>
        </w:rPr>
        <w:t xml:space="preserve">-motor planning specifically. </w:t>
      </w:r>
    </w:p>
    <w:p w14:paraId="13D9546C" w14:textId="6D65AB40" w:rsidR="001F7D9E" w:rsidRDefault="003773E4" w:rsidP="001F7D9E">
      <w:pPr>
        <w:spacing w:line="480" w:lineRule="auto"/>
        <w:ind w:firstLine="720"/>
        <w:rPr>
          <w:lang w:val="en-AU"/>
        </w:rPr>
      </w:pPr>
      <w:r>
        <w:rPr>
          <w:lang w:val="en-AU"/>
        </w:rPr>
        <w:t xml:space="preserve">The second factor that </w:t>
      </w:r>
      <w:r w:rsidR="00EE3122">
        <w:rPr>
          <w:lang w:val="en-AU"/>
        </w:rPr>
        <w:t>we propose</w:t>
      </w:r>
      <w:r>
        <w:rPr>
          <w:lang w:val="en-AU"/>
        </w:rPr>
        <w:t xml:space="preserve"> contribute</w:t>
      </w:r>
      <w:r w:rsidR="00EE3122">
        <w:rPr>
          <w:lang w:val="en-AU"/>
        </w:rPr>
        <w:t>s</w:t>
      </w:r>
      <w:r>
        <w:rPr>
          <w:lang w:val="en-AU"/>
        </w:rPr>
        <w:t xml:space="preserve"> to speech difficulties in nonfluent aphasia is an impairment affecting the top-down control of language production, secondary to damage involving more anterior language regions, including the LIFG and possibly also the middle inferior </w:t>
      </w:r>
      <w:r>
        <w:rPr>
          <w:lang w:val="en-AU"/>
        </w:rPr>
        <w:lastRenderedPageBreak/>
        <w:t xml:space="preserve">frontal gyrus. </w:t>
      </w:r>
      <w:r w:rsidR="006F767F">
        <w:rPr>
          <w:lang w:val="en-AU"/>
        </w:rPr>
        <w:t>We propose that this</w:t>
      </w:r>
      <w:r w:rsidR="00F026C8">
        <w:rPr>
          <w:lang w:val="en-AU"/>
        </w:rPr>
        <w:t xml:space="preserve"> impairment is </w:t>
      </w:r>
      <w:r w:rsidR="00E43965">
        <w:rPr>
          <w:lang w:val="en-AU"/>
        </w:rPr>
        <w:t>responsible</w:t>
      </w:r>
      <w:r w:rsidR="00F026C8">
        <w:rPr>
          <w:lang w:val="en-AU"/>
        </w:rPr>
        <w:t xml:space="preserve"> for the marked effects of context sensitivity that were </w:t>
      </w:r>
      <w:r w:rsidR="00E43965">
        <w:rPr>
          <w:lang w:val="en-AU"/>
        </w:rPr>
        <w:t>associated</w:t>
      </w:r>
      <w:r w:rsidR="00F026C8">
        <w:rPr>
          <w:lang w:val="en-AU"/>
        </w:rPr>
        <w:t xml:space="preserve"> with </w:t>
      </w:r>
      <w:r w:rsidR="00E43965">
        <w:rPr>
          <w:lang w:val="en-AU"/>
        </w:rPr>
        <w:t>damage</w:t>
      </w:r>
      <w:r w:rsidR="00F026C8">
        <w:rPr>
          <w:lang w:val="en-AU"/>
        </w:rPr>
        <w:t xml:space="preserve"> to these </w:t>
      </w:r>
      <w:r w:rsidR="00E43965">
        <w:rPr>
          <w:lang w:val="en-AU"/>
        </w:rPr>
        <w:t>regions</w:t>
      </w:r>
      <w:r w:rsidR="00F026C8">
        <w:rPr>
          <w:lang w:val="en-AU"/>
        </w:rPr>
        <w:t xml:space="preserve">. </w:t>
      </w:r>
      <w:r w:rsidR="00506208">
        <w:rPr>
          <w:lang w:val="en-AU"/>
        </w:rPr>
        <w:t>Numerous authors have previous</w:t>
      </w:r>
      <w:r w:rsidR="001F7D9E">
        <w:rPr>
          <w:lang w:val="en-AU"/>
        </w:rPr>
        <w:t>ly</w:t>
      </w:r>
      <w:r w:rsidR="00506208">
        <w:rPr>
          <w:lang w:val="en-AU"/>
        </w:rPr>
        <w:t xml:space="preserve"> suggested that anterior language structures, including the LIFG, may play an “activation biasing” role in speech production, that becomes crucial when there is competition for selection amongst language representation</w:t>
      </w:r>
      <w:r w:rsidR="001F7D9E">
        <w:rPr>
          <w:lang w:val="en-AU"/>
        </w:rPr>
        <w:t>, or</w:t>
      </w:r>
      <w:r w:rsidR="00506208">
        <w:rPr>
          <w:lang w:val="en-AU"/>
        </w:rPr>
        <w:t xml:space="preserve"> where there are few external constraints on what should be selected</w:t>
      </w:r>
      <w:r w:rsidR="00506208" w:rsidRPr="008B44DD">
        <w:rPr>
          <w:lang w:val="en-AU"/>
        </w:rPr>
        <w:t xml:space="preserve"> (</w:t>
      </w:r>
      <w:r w:rsidR="00506208" w:rsidRPr="00797375">
        <w:t>Belke &amp; Stielow, 2013</w:t>
      </w:r>
      <w:r w:rsidR="00506208">
        <w:t xml:space="preserve">, </w:t>
      </w:r>
      <w:r w:rsidR="00506208" w:rsidRPr="00797375">
        <w:t xml:space="preserve">Belke, </w:t>
      </w:r>
      <w:r w:rsidR="00506208">
        <w:t xml:space="preserve">2017; </w:t>
      </w:r>
      <w:r w:rsidR="00506208" w:rsidRPr="008B44DD">
        <w:rPr>
          <w:lang w:val="en-AU"/>
        </w:rPr>
        <w:t>Novick</w:t>
      </w:r>
      <w:r w:rsidR="00506208">
        <w:rPr>
          <w:lang w:val="en-AU"/>
        </w:rPr>
        <w:t xml:space="preserve"> et a</w:t>
      </w:r>
      <w:r w:rsidR="00506208" w:rsidRPr="008B44DD">
        <w:rPr>
          <w:lang w:val="en-AU"/>
        </w:rPr>
        <w:t>l</w:t>
      </w:r>
      <w:r w:rsidR="00506208">
        <w:rPr>
          <w:lang w:val="en-AU"/>
        </w:rPr>
        <w:t>.</w:t>
      </w:r>
      <w:r w:rsidR="00506208" w:rsidRPr="008B44DD">
        <w:rPr>
          <w:lang w:val="en-AU"/>
        </w:rPr>
        <w:t>, 2009</w:t>
      </w:r>
      <w:r w:rsidR="00506208">
        <w:rPr>
          <w:lang w:val="en-AU"/>
        </w:rPr>
        <w:t>, 2010</w:t>
      </w:r>
      <w:r w:rsidR="00506208" w:rsidRPr="008B44DD">
        <w:rPr>
          <w:lang w:val="en-AU"/>
        </w:rPr>
        <w:t xml:space="preserve">; </w:t>
      </w:r>
      <w:r w:rsidR="00506208" w:rsidRPr="00471779">
        <w:rPr>
          <w:lang w:val="en-AU"/>
        </w:rPr>
        <w:t>Riès</w:t>
      </w:r>
      <w:r w:rsidR="00506208">
        <w:rPr>
          <w:lang w:val="en-AU"/>
        </w:rPr>
        <w:t xml:space="preserve"> et al., </w:t>
      </w:r>
      <w:r w:rsidR="00506208" w:rsidRPr="00471779">
        <w:rPr>
          <w:lang w:val="en-AU"/>
        </w:rPr>
        <w:t>2015</w:t>
      </w:r>
      <w:r w:rsidR="00506208">
        <w:rPr>
          <w:lang w:val="en-AU"/>
        </w:rPr>
        <w:t xml:space="preserve">; </w:t>
      </w:r>
      <w:r w:rsidR="00506208" w:rsidRPr="008B44DD">
        <w:rPr>
          <w:lang w:val="en-AU"/>
        </w:rPr>
        <w:t>Robinson</w:t>
      </w:r>
      <w:r w:rsidR="00506208">
        <w:rPr>
          <w:lang w:val="en-AU"/>
        </w:rPr>
        <w:t xml:space="preserve"> et al.</w:t>
      </w:r>
      <w:r w:rsidR="00506208" w:rsidRPr="008B44DD">
        <w:rPr>
          <w:lang w:val="en-AU"/>
        </w:rPr>
        <w:t xml:space="preserve">, </w:t>
      </w:r>
      <w:r w:rsidR="00506208">
        <w:rPr>
          <w:lang w:val="en-AU"/>
        </w:rPr>
        <w:t xml:space="preserve">2005, </w:t>
      </w:r>
      <w:r w:rsidR="00506208" w:rsidRPr="008B44DD">
        <w:rPr>
          <w:lang w:val="en-AU"/>
        </w:rPr>
        <w:t>2010</w:t>
      </w:r>
      <w:r w:rsidR="00506208">
        <w:rPr>
          <w:lang w:val="en-AU"/>
        </w:rPr>
        <w:t>, 2012</w:t>
      </w:r>
      <w:r w:rsidR="00506208" w:rsidRPr="008B44DD">
        <w:rPr>
          <w:lang w:val="en-AU"/>
        </w:rPr>
        <w:t xml:space="preserve">; Schnur et al., </w:t>
      </w:r>
      <w:r w:rsidR="00506208">
        <w:rPr>
          <w:lang w:val="en-AU"/>
        </w:rPr>
        <w:t xml:space="preserve">2005, </w:t>
      </w:r>
      <w:r w:rsidR="00506208" w:rsidRPr="008B44DD">
        <w:rPr>
          <w:lang w:val="en-AU"/>
        </w:rPr>
        <w:t xml:space="preserve">2009; Scott &amp; Wilshire, 2010; </w:t>
      </w:r>
      <w:r w:rsidR="00506208" w:rsidRPr="00532034">
        <w:rPr>
          <w:lang w:val="en-AU"/>
        </w:rPr>
        <w:t xml:space="preserve">Thothathiri, </w:t>
      </w:r>
      <w:r w:rsidR="00506208">
        <w:rPr>
          <w:lang w:val="en-AU"/>
        </w:rPr>
        <w:t>et al.</w:t>
      </w:r>
      <w:r w:rsidR="00506208" w:rsidRPr="00532034">
        <w:rPr>
          <w:lang w:val="en-AU"/>
        </w:rPr>
        <w:t>, 2010;</w:t>
      </w:r>
      <w:r w:rsidR="00506208">
        <w:rPr>
          <w:lang w:val="en-AU"/>
        </w:rPr>
        <w:t xml:space="preserve"> </w:t>
      </w:r>
      <w:r w:rsidR="00506208" w:rsidRPr="008600BE">
        <w:t>2012</w:t>
      </w:r>
      <w:r w:rsidR="00506208">
        <w:t xml:space="preserve">; </w:t>
      </w:r>
      <w:r w:rsidR="00506208" w:rsidRPr="008B44DD">
        <w:rPr>
          <w:lang w:val="en-AU"/>
        </w:rPr>
        <w:t>Wilshire &amp; McCarthy, 2002</w:t>
      </w:r>
      <w:r w:rsidR="00506208">
        <w:rPr>
          <w:lang w:val="en-AU"/>
        </w:rPr>
        <w:t xml:space="preserve">; but see </w:t>
      </w:r>
      <w:r w:rsidR="00506208" w:rsidRPr="00EC7893">
        <w:rPr>
          <w:lang w:val="en-AU"/>
        </w:rPr>
        <w:t>Anders</w:t>
      </w:r>
      <w:r w:rsidR="00506208">
        <w:rPr>
          <w:lang w:val="en-AU"/>
        </w:rPr>
        <w:t xml:space="preserve"> et al., </w:t>
      </w:r>
      <w:r w:rsidR="00506208" w:rsidRPr="00EC7893">
        <w:rPr>
          <w:lang w:val="en-AU"/>
        </w:rPr>
        <w:t>2017</w:t>
      </w:r>
      <w:r w:rsidR="00506208">
        <w:rPr>
          <w:lang w:val="en-AU"/>
        </w:rPr>
        <w:t xml:space="preserve">; </w:t>
      </w:r>
      <w:r w:rsidR="00506208" w:rsidRPr="00E51E2E">
        <w:rPr>
          <w:lang w:val="en-AU"/>
        </w:rPr>
        <w:t>Hsi</w:t>
      </w:r>
      <w:r w:rsidR="00506208" w:rsidRPr="00E87498">
        <w:rPr>
          <w:lang w:val="en-AU"/>
        </w:rPr>
        <w:t>a</w:t>
      </w:r>
      <w:r w:rsidR="00506208">
        <w:rPr>
          <w:lang w:val="en-AU"/>
        </w:rPr>
        <w:t xml:space="preserve">o et al., </w:t>
      </w:r>
      <w:r w:rsidR="00506208" w:rsidRPr="00E87498">
        <w:rPr>
          <w:lang w:val="en-AU"/>
        </w:rPr>
        <w:t>2009</w:t>
      </w:r>
      <w:r w:rsidR="00506208">
        <w:rPr>
          <w:lang w:val="en-AU"/>
        </w:rPr>
        <w:t xml:space="preserve">; </w:t>
      </w:r>
      <w:r w:rsidR="00506208" w:rsidRPr="00443041">
        <w:t>Oppenheim</w:t>
      </w:r>
      <w:r w:rsidR="00506208">
        <w:t>, Dell &amp; Schwartz</w:t>
      </w:r>
      <w:r w:rsidR="00506208" w:rsidRPr="00443041">
        <w:t>, 2010</w:t>
      </w:r>
      <w:r w:rsidR="00506208">
        <w:t>, for a slightly different proposal</w:t>
      </w:r>
      <w:r w:rsidR="00506208">
        <w:rPr>
          <w:lang w:val="en-AU"/>
        </w:rPr>
        <w:t xml:space="preserve">). As to the </w:t>
      </w:r>
      <w:r w:rsidR="00506208" w:rsidRPr="00785157">
        <w:rPr>
          <w:i/>
          <w:iCs/>
          <w:lang w:val="en-AU"/>
        </w:rPr>
        <w:t>nature</w:t>
      </w:r>
      <w:r w:rsidR="00506208">
        <w:rPr>
          <w:lang w:val="en-AU"/>
        </w:rPr>
        <w:t xml:space="preserve"> of this activation modulating mechanism, one hypothesis is that it is closely connected with the processes involved in generating a message-level communication “intention” that is capable of driving the selection of language representations (</w:t>
      </w:r>
      <w:r w:rsidR="00506208" w:rsidRPr="008B44DD">
        <w:rPr>
          <w:lang w:val="en-AU"/>
        </w:rPr>
        <w:t>Robinson</w:t>
      </w:r>
      <w:r w:rsidR="00506208">
        <w:rPr>
          <w:lang w:val="en-AU"/>
        </w:rPr>
        <w:t xml:space="preserve"> et al.</w:t>
      </w:r>
      <w:r w:rsidR="00506208" w:rsidRPr="008B44DD">
        <w:rPr>
          <w:lang w:val="en-AU"/>
        </w:rPr>
        <w:t xml:space="preserve">, </w:t>
      </w:r>
      <w:r w:rsidR="00506208">
        <w:rPr>
          <w:lang w:val="en-AU"/>
        </w:rPr>
        <w:t xml:space="preserve">2005, </w:t>
      </w:r>
      <w:r w:rsidR="00506208" w:rsidRPr="008B44DD">
        <w:rPr>
          <w:lang w:val="en-AU"/>
        </w:rPr>
        <w:t>2010</w:t>
      </w:r>
      <w:r w:rsidR="00506208">
        <w:rPr>
          <w:lang w:val="en-AU"/>
        </w:rPr>
        <w:t>,</w:t>
      </w:r>
      <w:r w:rsidR="00506208" w:rsidRPr="00E51E2E">
        <w:rPr>
          <w:lang w:val="en-AU"/>
        </w:rPr>
        <w:t xml:space="preserve"> 2012; Barker Nelson &amp; Robinson, 2020</w:t>
      </w:r>
      <w:r w:rsidR="00506208">
        <w:rPr>
          <w:lang w:val="en-AU"/>
        </w:rPr>
        <w:t xml:space="preserve">). </w:t>
      </w:r>
    </w:p>
    <w:p w14:paraId="6117E990" w14:textId="7458F5C4" w:rsidR="003F328C" w:rsidRDefault="00E90A9E" w:rsidP="001F7D9E">
      <w:pPr>
        <w:spacing w:line="480" w:lineRule="auto"/>
        <w:ind w:firstLine="720"/>
        <w:rPr>
          <w:lang w:val="en-AU"/>
        </w:rPr>
      </w:pPr>
      <w:r>
        <w:rPr>
          <w:lang w:val="en-AU"/>
        </w:rPr>
        <w:t>Th</w:t>
      </w:r>
      <w:r w:rsidR="002E3E5B">
        <w:rPr>
          <w:lang w:val="en-AU"/>
        </w:rPr>
        <w:t>is type of</w:t>
      </w:r>
      <w:r>
        <w:rPr>
          <w:lang w:val="en-AU"/>
        </w:rPr>
        <w:t xml:space="preserve"> account </w:t>
      </w:r>
      <w:r w:rsidR="005560BF">
        <w:rPr>
          <w:lang w:val="en-AU"/>
        </w:rPr>
        <w:t>can provide an</w:t>
      </w:r>
      <w:r w:rsidR="005F6675">
        <w:rPr>
          <w:lang w:val="en-AU"/>
        </w:rPr>
        <w:t xml:space="preserve"> integrated explanation of</w:t>
      </w:r>
      <w:r>
        <w:rPr>
          <w:lang w:val="en-AU"/>
        </w:rPr>
        <w:t xml:space="preserve"> </w:t>
      </w:r>
      <w:r w:rsidR="006F767F">
        <w:rPr>
          <w:lang w:val="en-AU"/>
        </w:rPr>
        <w:t xml:space="preserve">the </w:t>
      </w:r>
      <w:r w:rsidR="003F328C">
        <w:rPr>
          <w:lang w:val="en-AU"/>
        </w:rPr>
        <w:t>context</w:t>
      </w:r>
      <w:r w:rsidR="005560BF">
        <w:rPr>
          <w:lang w:val="en-AU"/>
        </w:rPr>
        <w:t xml:space="preserve"> </w:t>
      </w:r>
      <w:r w:rsidR="003F328C">
        <w:rPr>
          <w:lang w:val="en-AU"/>
        </w:rPr>
        <w:t>sensitivity</w:t>
      </w:r>
      <w:r w:rsidR="005560BF">
        <w:rPr>
          <w:lang w:val="en-AU"/>
        </w:rPr>
        <w:t xml:space="preserve"> effects we observed </w:t>
      </w:r>
      <w:r w:rsidR="007B22C5">
        <w:rPr>
          <w:lang w:val="en-AU"/>
        </w:rPr>
        <w:t xml:space="preserve">here </w:t>
      </w:r>
      <w:r w:rsidR="005560BF">
        <w:rPr>
          <w:lang w:val="en-AU"/>
        </w:rPr>
        <w:t>in</w:t>
      </w:r>
      <w:r w:rsidR="006F767F">
        <w:rPr>
          <w:lang w:val="en-AU"/>
        </w:rPr>
        <w:t xml:space="preserve"> both single word and sentence </w:t>
      </w:r>
      <w:r w:rsidR="00E43965">
        <w:rPr>
          <w:lang w:val="en-AU"/>
        </w:rPr>
        <w:t>production</w:t>
      </w:r>
      <w:r w:rsidR="002E3E5B">
        <w:rPr>
          <w:lang w:val="en-AU"/>
        </w:rPr>
        <w:t>.</w:t>
      </w:r>
      <w:r w:rsidR="00785157">
        <w:rPr>
          <w:lang w:val="en-AU"/>
        </w:rPr>
        <w:t xml:space="preserve"> We propose</w:t>
      </w:r>
      <w:r w:rsidR="00285463">
        <w:rPr>
          <w:lang w:val="en-AU"/>
        </w:rPr>
        <w:t xml:space="preserve"> that the key problem underlying </w:t>
      </w:r>
      <w:r w:rsidR="007B22C5">
        <w:rPr>
          <w:lang w:val="en-AU"/>
        </w:rPr>
        <w:t>these</w:t>
      </w:r>
      <w:r w:rsidR="00285463">
        <w:rPr>
          <w:lang w:val="en-AU"/>
        </w:rPr>
        <w:t xml:space="preserve"> effects is an inability to generate and/maintain a robust message-level representation to drive the selection of appropriate content words in all speech production contexts. </w:t>
      </w:r>
      <w:r w:rsidR="003F328C">
        <w:rPr>
          <w:lang w:val="en-AU"/>
        </w:rPr>
        <w:t>As a consequence, the speaker has greater difficulty selecting a target lexical element f</w:t>
      </w:r>
      <w:r w:rsidR="00BB2F81">
        <w:rPr>
          <w:lang w:val="en-AU"/>
        </w:rPr>
        <w:t>ro</w:t>
      </w:r>
      <w:r w:rsidR="003F328C">
        <w:rPr>
          <w:lang w:val="en-AU"/>
        </w:rPr>
        <w:t>m amongst other, concurrently activated representations.</w:t>
      </w:r>
    </w:p>
    <w:p w14:paraId="15E82DB9" w14:textId="1B3CBDFD" w:rsidR="001E51CC" w:rsidRDefault="002C7746" w:rsidP="00512782">
      <w:pPr>
        <w:spacing w:line="480" w:lineRule="auto"/>
        <w:ind w:firstLine="720"/>
        <w:rPr>
          <w:lang w:val="en-AU"/>
        </w:rPr>
      </w:pPr>
      <w:r>
        <w:rPr>
          <w:b/>
          <w:bCs/>
          <w:lang w:val="en-AU"/>
        </w:rPr>
        <w:t xml:space="preserve">4.1. </w:t>
      </w:r>
      <w:r w:rsidR="004E354A">
        <w:rPr>
          <w:b/>
          <w:bCs/>
          <w:lang w:val="en-AU"/>
        </w:rPr>
        <w:t>A</w:t>
      </w:r>
      <w:r w:rsidR="00512782" w:rsidRPr="00AD5E2A">
        <w:rPr>
          <w:b/>
          <w:bCs/>
          <w:lang w:val="en-AU"/>
        </w:rPr>
        <w:t xml:space="preserve"> </w:t>
      </w:r>
      <w:r w:rsidR="004E354A">
        <w:rPr>
          <w:b/>
          <w:bCs/>
          <w:lang w:val="en-AU"/>
        </w:rPr>
        <w:t xml:space="preserve">tentative </w:t>
      </w:r>
      <w:r w:rsidR="00512782" w:rsidRPr="00AD5E2A">
        <w:rPr>
          <w:b/>
          <w:bCs/>
          <w:lang w:val="en-AU"/>
        </w:rPr>
        <w:t>model.</w:t>
      </w:r>
      <w:r w:rsidR="00512782">
        <w:rPr>
          <w:lang w:val="en-AU"/>
        </w:rPr>
        <w:t xml:space="preserve"> </w:t>
      </w:r>
      <w:r w:rsidR="003773E4">
        <w:rPr>
          <w:lang w:val="en-AU"/>
        </w:rPr>
        <w:t>A useful theoretical framework in which to situat</w:t>
      </w:r>
      <w:r w:rsidR="00346DE2">
        <w:rPr>
          <w:lang w:val="en-AU"/>
        </w:rPr>
        <w:t>e</w:t>
      </w:r>
      <w:r w:rsidR="003773E4">
        <w:rPr>
          <w:lang w:val="en-AU"/>
        </w:rPr>
        <w:t xml:space="preserve"> </w:t>
      </w:r>
      <w:r w:rsidR="003458FA">
        <w:rPr>
          <w:lang w:val="en-AU"/>
        </w:rPr>
        <w:t>this two-factor</w:t>
      </w:r>
      <w:r w:rsidR="003773E4">
        <w:rPr>
          <w:lang w:val="en-AU"/>
        </w:rPr>
        <w:t xml:space="preserve"> proposal is the sentence production model</w:t>
      </w:r>
      <w:r w:rsidR="003773E4" w:rsidRPr="009A3DB1">
        <w:rPr>
          <w:lang w:val="en-AU"/>
        </w:rPr>
        <w:t xml:space="preserve"> </w:t>
      </w:r>
      <w:r w:rsidR="003773E4">
        <w:rPr>
          <w:lang w:val="en-AU"/>
        </w:rPr>
        <w:t>of</w:t>
      </w:r>
      <w:r w:rsidR="003773E4" w:rsidRPr="009A3DB1">
        <w:rPr>
          <w:lang w:val="en-AU"/>
        </w:rPr>
        <w:t xml:space="preserve"> Chang and colleagues (Chang, 2002; Chang et al., 2006</w:t>
      </w:r>
      <w:r w:rsidR="003773E4">
        <w:rPr>
          <w:lang w:val="en-AU"/>
        </w:rPr>
        <w:t xml:space="preserve">; see also </w:t>
      </w:r>
      <w:r w:rsidR="003773E4" w:rsidRPr="00076697">
        <w:t>Dell &amp; Chang, 2014</w:t>
      </w:r>
      <w:r w:rsidR="003773E4" w:rsidRPr="009A3DB1">
        <w:rPr>
          <w:lang w:val="en-AU"/>
        </w:rPr>
        <w:t xml:space="preserve">), </w:t>
      </w:r>
      <w:r w:rsidR="003773E4">
        <w:rPr>
          <w:lang w:val="en-AU"/>
        </w:rPr>
        <w:t xml:space="preserve">which is </w:t>
      </w:r>
      <w:r w:rsidR="003773E4" w:rsidRPr="009A3DB1">
        <w:rPr>
          <w:lang w:val="en-AU"/>
        </w:rPr>
        <w:t xml:space="preserve">illustrated in Figure </w:t>
      </w:r>
      <w:r w:rsidR="003773E4">
        <w:rPr>
          <w:lang w:val="en-AU"/>
        </w:rPr>
        <w:t xml:space="preserve">5. </w:t>
      </w:r>
      <w:r w:rsidR="00512782">
        <w:rPr>
          <w:lang w:val="en-AU"/>
        </w:rPr>
        <w:t xml:space="preserve">This model proposes that there are </w:t>
      </w:r>
      <w:r w:rsidR="00D15EFD">
        <w:rPr>
          <w:lang w:val="en-AU"/>
        </w:rPr>
        <w:t>two</w:t>
      </w:r>
      <w:r w:rsidR="00512782">
        <w:rPr>
          <w:lang w:val="en-AU"/>
        </w:rPr>
        <w:t xml:space="preserve"> primary sets of representations that are important for sentence planning</w:t>
      </w:r>
      <w:r w:rsidR="003D564D">
        <w:rPr>
          <w:lang w:val="en-AU"/>
        </w:rPr>
        <w:t>. The</w:t>
      </w:r>
      <w:r w:rsidR="00512782">
        <w:rPr>
          <w:lang w:val="en-AU"/>
        </w:rPr>
        <w:t xml:space="preserve"> </w:t>
      </w:r>
      <w:r w:rsidR="00512782" w:rsidRPr="00027B47">
        <w:rPr>
          <w:i/>
          <w:iCs/>
          <w:lang w:val="en-AU"/>
        </w:rPr>
        <w:t>meaning system</w:t>
      </w:r>
      <w:r w:rsidR="00512782">
        <w:rPr>
          <w:lang w:val="en-AU"/>
        </w:rPr>
        <w:t xml:space="preserve"> comprises the</w:t>
      </w:r>
      <w:r w:rsidR="003D564D">
        <w:rPr>
          <w:lang w:val="en-AU"/>
        </w:rPr>
        <w:t xml:space="preserve"> </w:t>
      </w:r>
      <w:r w:rsidR="00512782">
        <w:rPr>
          <w:lang w:val="en-AU"/>
        </w:rPr>
        <w:t xml:space="preserve">knowledge we possess about concepts, </w:t>
      </w:r>
      <w:r w:rsidR="003773E4">
        <w:rPr>
          <w:lang w:val="en-AU"/>
        </w:rPr>
        <w:t>represented</w:t>
      </w:r>
      <w:r w:rsidR="003D564D">
        <w:rPr>
          <w:lang w:val="en-AU"/>
        </w:rPr>
        <w:t xml:space="preserve"> within a network of </w:t>
      </w:r>
      <w:r w:rsidR="003773E4">
        <w:rPr>
          <w:lang w:val="en-AU"/>
        </w:rPr>
        <w:t>hierarchically</w:t>
      </w:r>
      <w:r w:rsidR="003D564D">
        <w:rPr>
          <w:lang w:val="en-AU"/>
        </w:rPr>
        <w:t xml:space="preserve"> organised units </w:t>
      </w:r>
      <w:r w:rsidR="00200F11">
        <w:rPr>
          <w:lang w:val="en-AU"/>
        </w:rPr>
        <w:t>representi</w:t>
      </w:r>
      <w:r w:rsidR="001F7D9E">
        <w:rPr>
          <w:lang w:val="en-AU"/>
        </w:rPr>
        <w:t>ng</w:t>
      </w:r>
      <w:r w:rsidR="00200F11">
        <w:rPr>
          <w:lang w:val="en-AU"/>
        </w:rPr>
        <w:t xml:space="preserve"> their semantics, their </w:t>
      </w:r>
      <w:r w:rsidR="00285463">
        <w:rPr>
          <w:lang w:val="en-AU"/>
        </w:rPr>
        <w:t>lexical labels</w:t>
      </w:r>
      <w:r w:rsidR="00200F11">
        <w:rPr>
          <w:lang w:val="en-AU"/>
        </w:rPr>
        <w:t xml:space="preserve"> and so forth. </w:t>
      </w:r>
      <w:r w:rsidR="00353C4A">
        <w:rPr>
          <w:lang w:val="en-AU"/>
        </w:rPr>
        <w:t>Here we will</w:t>
      </w:r>
      <w:r w:rsidR="003D564D">
        <w:rPr>
          <w:lang w:val="en-AU"/>
        </w:rPr>
        <w:t xml:space="preserve"> use the term </w:t>
      </w:r>
      <w:r w:rsidR="003D564D" w:rsidRPr="004F11B8">
        <w:rPr>
          <w:i/>
          <w:iCs/>
          <w:lang w:val="en-AU"/>
        </w:rPr>
        <w:t xml:space="preserve">content element </w:t>
      </w:r>
      <w:r w:rsidR="003D564D">
        <w:rPr>
          <w:lang w:val="en-AU"/>
        </w:rPr>
        <w:t xml:space="preserve">to </w:t>
      </w:r>
      <w:r w:rsidR="00353C4A">
        <w:rPr>
          <w:lang w:val="en-AU"/>
        </w:rPr>
        <w:t>describe</w:t>
      </w:r>
      <w:r w:rsidR="003D564D">
        <w:rPr>
          <w:lang w:val="en-AU"/>
        </w:rPr>
        <w:t xml:space="preserve"> </w:t>
      </w:r>
      <w:r w:rsidR="00353C4A">
        <w:rPr>
          <w:lang w:val="en-AU"/>
        </w:rPr>
        <w:t>the</w:t>
      </w:r>
      <w:r w:rsidR="003D564D">
        <w:rPr>
          <w:lang w:val="en-AU"/>
        </w:rPr>
        <w:t xml:space="preserve"> network associated with </w:t>
      </w:r>
      <w:r w:rsidR="00353C4A">
        <w:rPr>
          <w:lang w:val="en-AU"/>
        </w:rPr>
        <w:t>a</w:t>
      </w:r>
      <w:r w:rsidR="003D564D">
        <w:rPr>
          <w:lang w:val="en-AU"/>
        </w:rPr>
        <w:t xml:space="preserve"> given concep</w:t>
      </w:r>
      <w:r w:rsidR="001F7D9E">
        <w:rPr>
          <w:lang w:val="en-AU"/>
        </w:rPr>
        <w:t>t</w:t>
      </w:r>
      <w:r w:rsidR="003D564D">
        <w:rPr>
          <w:lang w:val="en-AU"/>
        </w:rPr>
        <w:t xml:space="preserve">. </w:t>
      </w:r>
      <w:r w:rsidR="00A3302B">
        <w:rPr>
          <w:lang w:val="en-AU"/>
        </w:rPr>
        <w:t xml:space="preserve">In contrast to the meaning system, the </w:t>
      </w:r>
      <w:r w:rsidR="00A3302B" w:rsidRPr="00A73BD9">
        <w:rPr>
          <w:i/>
          <w:iCs/>
          <w:lang w:val="en-AU"/>
        </w:rPr>
        <w:t>sequencing system</w:t>
      </w:r>
      <w:r w:rsidR="00A3302B">
        <w:rPr>
          <w:lang w:val="en-AU"/>
        </w:rPr>
        <w:t xml:space="preserve"> </w:t>
      </w:r>
      <w:r w:rsidR="00A3302B" w:rsidRPr="00614D1F">
        <w:rPr>
          <w:lang w:val="en-AU"/>
        </w:rPr>
        <w:t xml:space="preserve">represents learned information about </w:t>
      </w:r>
      <w:r w:rsidR="00200F11">
        <w:rPr>
          <w:lang w:val="en-AU"/>
        </w:rPr>
        <w:t>word</w:t>
      </w:r>
      <w:r w:rsidR="00A3302B" w:rsidRPr="00614D1F">
        <w:rPr>
          <w:lang w:val="en-AU"/>
        </w:rPr>
        <w:t xml:space="preserve"> </w:t>
      </w:r>
      <w:r w:rsidR="00A3302B" w:rsidRPr="00614D1F">
        <w:rPr>
          <w:lang w:val="en-AU"/>
        </w:rPr>
        <w:lastRenderedPageBreak/>
        <w:t>sequencing rules</w:t>
      </w:r>
      <w:r w:rsidR="00A3302B">
        <w:rPr>
          <w:lang w:val="en-AU"/>
        </w:rPr>
        <w:t>,</w:t>
      </w:r>
      <w:r w:rsidR="00A3302B" w:rsidRPr="00614D1F">
        <w:rPr>
          <w:lang w:val="en-AU"/>
        </w:rPr>
        <w:t xml:space="preserve"> that </w:t>
      </w:r>
      <w:r w:rsidR="00A3302B">
        <w:rPr>
          <w:lang w:val="en-AU"/>
        </w:rPr>
        <w:t xml:space="preserve">are </w:t>
      </w:r>
      <w:r w:rsidR="007B22C5">
        <w:rPr>
          <w:lang w:val="en-AU"/>
        </w:rPr>
        <w:t>coded</w:t>
      </w:r>
      <w:r w:rsidR="00A3302B">
        <w:rPr>
          <w:lang w:val="en-AU"/>
        </w:rPr>
        <w:t xml:space="preserve"> in the form of sequential dependencies between different</w:t>
      </w:r>
      <w:r w:rsidR="00A3302B" w:rsidRPr="00614D1F">
        <w:rPr>
          <w:lang w:val="en-AU"/>
        </w:rPr>
        <w:t xml:space="preserve"> </w:t>
      </w:r>
      <w:r w:rsidR="00200F11">
        <w:rPr>
          <w:lang w:val="en-AU"/>
        </w:rPr>
        <w:t>word</w:t>
      </w:r>
      <w:r w:rsidR="00A3302B">
        <w:rPr>
          <w:lang w:val="en-AU"/>
        </w:rPr>
        <w:t xml:space="preserve"> </w:t>
      </w:r>
      <w:r w:rsidR="00A3302B" w:rsidRPr="00614D1F">
        <w:rPr>
          <w:lang w:val="en-AU"/>
        </w:rPr>
        <w:t>classes</w:t>
      </w:r>
      <w:r w:rsidR="00A3302B">
        <w:rPr>
          <w:lang w:val="en-AU"/>
        </w:rPr>
        <w:t xml:space="preserve"> (this part of the model learns by a recurrent PDP network, so it is sensitive not only to immediate transitional probabilities but also dependencies than span several words). </w:t>
      </w:r>
      <w:r w:rsidR="00512782">
        <w:rPr>
          <w:lang w:val="en-AU"/>
        </w:rPr>
        <w:t xml:space="preserve">In addition to these systems that represent </w:t>
      </w:r>
      <w:r w:rsidR="00506208">
        <w:rPr>
          <w:lang w:val="en-AU"/>
        </w:rPr>
        <w:t>generalised</w:t>
      </w:r>
      <w:r w:rsidR="007B22C5">
        <w:rPr>
          <w:lang w:val="en-AU"/>
        </w:rPr>
        <w:t xml:space="preserve"> conceptual knowledge and </w:t>
      </w:r>
      <w:r w:rsidR="00506208">
        <w:rPr>
          <w:lang w:val="en-AU"/>
        </w:rPr>
        <w:t>sequential</w:t>
      </w:r>
      <w:r w:rsidR="00512782">
        <w:rPr>
          <w:lang w:val="en-AU"/>
        </w:rPr>
        <w:t xml:space="preserve"> dependencies</w:t>
      </w:r>
      <w:r w:rsidR="00346DE2">
        <w:rPr>
          <w:lang w:val="en-AU"/>
        </w:rPr>
        <w:t xml:space="preserve"> respectively</w:t>
      </w:r>
      <w:r w:rsidR="00512782">
        <w:rPr>
          <w:lang w:val="en-AU"/>
        </w:rPr>
        <w:t xml:space="preserve">, the model further includes a set of </w:t>
      </w:r>
      <w:r w:rsidR="00512782" w:rsidRPr="00C86FDC">
        <w:rPr>
          <w:i/>
          <w:iCs/>
          <w:lang w:val="en-AU"/>
        </w:rPr>
        <w:t xml:space="preserve">role </w:t>
      </w:r>
      <w:r w:rsidR="00BB227B">
        <w:rPr>
          <w:i/>
          <w:iCs/>
          <w:lang w:val="en-AU"/>
        </w:rPr>
        <w:t xml:space="preserve">(“where”) </w:t>
      </w:r>
      <w:r w:rsidR="00512782" w:rsidRPr="00C86FDC">
        <w:rPr>
          <w:i/>
          <w:iCs/>
          <w:lang w:val="en-AU"/>
        </w:rPr>
        <w:t xml:space="preserve">units, </w:t>
      </w:r>
      <w:r w:rsidR="00512782">
        <w:rPr>
          <w:lang w:val="en-AU"/>
        </w:rPr>
        <w:t xml:space="preserve">which represent the types of thematic roles that can be expressed in given proposition (e.g., </w:t>
      </w:r>
      <w:r w:rsidR="00512782" w:rsidRPr="003C1B0B">
        <w:rPr>
          <w:i/>
          <w:iCs/>
          <w:lang w:val="en-AU"/>
        </w:rPr>
        <w:t>agent</w:t>
      </w:r>
      <w:r w:rsidR="00512782">
        <w:rPr>
          <w:i/>
          <w:iCs/>
          <w:lang w:val="en-AU"/>
        </w:rPr>
        <w:t>, patient, action</w:t>
      </w:r>
      <w:r w:rsidR="001E51CC">
        <w:rPr>
          <w:i/>
          <w:iCs/>
          <w:lang w:val="en-AU"/>
        </w:rPr>
        <w:t>)</w:t>
      </w:r>
      <w:r w:rsidR="00512782" w:rsidRPr="00144A5E">
        <w:rPr>
          <w:lang w:val="en-AU"/>
        </w:rPr>
        <w:t xml:space="preserve">, and which can be dynamically linked to concept </w:t>
      </w:r>
      <w:r w:rsidR="00497A3D">
        <w:rPr>
          <w:lang w:val="en-AU"/>
        </w:rPr>
        <w:t>units</w:t>
      </w:r>
      <w:r w:rsidR="00512782">
        <w:rPr>
          <w:lang w:val="en-AU"/>
        </w:rPr>
        <w:t xml:space="preserve"> to represent a given proposition</w:t>
      </w:r>
      <w:r w:rsidR="00512782" w:rsidRPr="00614D1F">
        <w:rPr>
          <w:lang w:val="en-AU"/>
        </w:rPr>
        <w:t>.</w:t>
      </w:r>
      <w:r w:rsidR="00512782">
        <w:rPr>
          <w:lang w:val="en-AU"/>
        </w:rPr>
        <w:t xml:space="preserve"> </w:t>
      </w:r>
    </w:p>
    <w:p w14:paraId="53B49943" w14:textId="0F4DBDEC" w:rsidR="00512782" w:rsidRDefault="00A568A3" w:rsidP="007A43CD">
      <w:pPr>
        <w:jc w:val="center"/>
        <w:rPr>
          <w:lang w:val="en-AU"/>
        </w:rPr>
      </w:pPr>
      <w:r>
        <w:rPr>
          <w:noProof/>
          <w:lang w:val="en-AU"/>
        </w:rPr>
        <w:drawing>
          <wp:inline distT="0" distB="0" distL="0" distR="0" wp14:anchorId="347BCC45" wp14:editId="532D3558">
            <wp:extent cx="4371521"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407306" cy="3111363"/>
                    </a:xfrm>
                    <a:prstGeom prst="rect">
                      <a:avLst/>
                    </a:prstGeom>
                  </pic:spPr>
                </pic:pic>
              </a:graphicData>
            </a:graphic>
          </wp:inline>
        </w:drawing>
      </w:r>
    </w:p>
    <w:p w14:paraId="52688E75" w14:textId="794C15AA" w:rsidR="00512782" w:rsidRPr="007A43CD" w:rsidRDefault="00512782" w:rsidP="007A43CD">
      <w:pPr>
        <w:spacing w:before="160"/>
        <w:rPr>
          <w:b/>
          <w:bCs/>
          <w:sz w:val="22"/>
          <w:szCs w:val="22"/>
          <w:lang w:val="en-AU"/>
        </w:rPr>
      </w:pPr>
      <w:r w:rsidRPr="007A43CD">
        <w:rPr>
          <w:b/>
          <w:bCs/>
          <w:sz w:val="22"/>
          <w:szCs w:val="22"/>
          <w:lang w:val="en-AU"/>
        </w:rPr>
        <w:t xml:space="preserve">Figure </w:t>
      </w:r>
      <w:r w:rsidR="004F6E54">
        <w:rPr>
          <w:b/>
          <w:bCs/>
          <w:sz w:val="22"/>
          <w:szCs w:val="22"/>
          <w:lang w:val="en-AU"/>
        </w:rPr>
        <w:t>5</w:t>
      </w:r>
    </w:p>
    <w:p w14:paraId="102E06A8" w14:textId="5FE129A7" w:rsidR="00512782" w:rsidRDefault="00512782" w:rsidP="007A43CD">
      <w:pPr>
        <w:rPr>
          <w:sz w:val="22"/>
          <w:szCs w:val="22"/>
          <w:lang w:val="en-AU"/>
        </w:rPr>
      </w:pPr>
      <w:r w:rsidRPr="007A43CD">
        <w:rPr>
          <w:sz w:val="22"/>
          <w:szCs w:val="22"/>
          <w:lang w:val="en-AU"/>
        </w:rPr>
        <w:t>Simplified illustration of Chang et al.’s (2006) dual-path model of sentence production. The figure illustrates some of the units that are active just prior to selection of the word “cat” in the sentence “</w:t>
      </w:r>
      <w:r w:rsidRPr="007A43CD">
        <w:rPr>
          <w:i/>
          <w:iCs/>
          <w:sz w:val="22"/>
          <w:szCs w:val="22"/>
          <w:lang w:val="en-AU"/>
        </w:rPr>
        <w:t>The cat chased the mouse</w:t>
      </w:r>
      <w:r w:rsidRPr="007A43CD">
        <w:rPr>
          <w:sz w:val="22"/>
          <w:szCs w:val="22"/>
          <w:lang w:val="en-AU"/>
        </w:rPr>
        <w:t>”.</w:t>
      </w:r>
    </w:p>
    <w:p w14:paraId="5C07DAB6" w14:textId="77777777" w:rsidR="001F7D9E" w:rsidRPr="007A43CD" w:rsidRDefault="001F7D9E" w:rsidP="001F7D9E">
      <w:pPr>
        <w:spacing w:line="360" w:lineRule="auto"/>
        <w:rPr>
          <w:sz w:val="22"/>
          <w:szCs w:val="22"/>
          <w:lang w:val="en-AU"/>
        </w:rPr>
      </w:pPr>
    </w:p>
    <w:p w14:paraId="42768316" w14:textId="31E32F29" w:rsidR="00512782" w:rsidRDefault="00512782" w:rsidP="00512782">
      <w:pPr>
        <w:spacing w:line="480" w:lineRule="auto"/>
        <w:ind w:firstLine="720"/>
        <w:rPr>
          <w:lang w:val="en-AU"/>
        </w:rPr>
      </w:pPr>
      <w:r>
        <w:rPr>
          <w:lang w:val="en-AU"/>
        </w:rPr>
        <w:t xml:space="preserve">The process </w:t>
      </w:r>
      <w:r w:rsidR="00BD2F28">
        <w:rPr>
          <w:lang w:val="en-AU"/>
        </w:rPr>
        <w:t>of spe</w:t>
      </w:r>
      <w:r w:rsidR="007A5C7F">
        <w:rPr>
          <w:lang w:val="en-AU"/>
        </w:rPr>
        <w:t>e</w:t>
      </w:r>
      <w:r w:rsidR="00BD2F28">
        <w:rPr>
          <w:lang w:val="en-AU"/>
        </w:rPr>
        <w:t>ch planning begins</w:t>
      </w:r>
      <w:r>
        <w:rPr>
          <w:lang w:val="en-AU"/>
        </w:rPr>
        <w:t xml:space="preserve"> </w:t>
      </w:r>
      <w:r w:rsidR="00542BDD">
        <w:rPr>
          <w:lang w:val="en-AU"/>
        </w:rPr>
        <w:t xml:space="preserve">with </w:t>
      </w:r>
      <w:r>
        <w:rPr>
          <w:lang w:val="en-AU"/>
        </w:rPr>
        <w:t>the generation of a message-level representation: t</w:t>
      </w:r>
      <w:r w:rsidRPr="0076233A">
        <w:rPr>
          <w:lang w:val="en-AU"/>
        </w:rPr>
        <w:t xml:space="preserve">he key </w:t>
      </w:r>
      <w:r w:rsidR="001F7D9E">
        <w:rPr>
          <w:lang w:val="en-AU"/>
        </w:rPr>
        <w:t>content elements</w:t>
      </w:r>
      <w:r w:rsidRPr="0076233A">
        <w:rPr>
          <w:lang w:val="en-AU"/>
        </w:rPr>
        <w:t xml:space="preserve"> </w:t>
      </w:r>
      <w:r>
        <w:rPr>
          <w:lang w:val="en-AU"/>
        </w:rPr>
        <w:t>to be included in the message are activated and are bound to their appropriate role units</w:t>
      </w:r>
      <w:r w:rsidRPr="0076233A">
        <w:rPr>
          <w:lang w:val="en-AU"/>
        </w:rPr>
        <w:t xml:space="preserve"> (e.g., cat –</w:t>
      </w:r>
      <w:r>
        <w:rPr>
          <w:lang w:val="en-AU"/>
        </w:rPr>
        <w:t>&gt;</w:t>
      </w:r>
      <w:r w:rsidRPr="0076233A">
        <w:rPr>
          <w:lang w:val="en-AU"/>
        </w:rPr>
        <w:t xml:space="preserve"> </w:t>
      </w:r>
      <w:r w:rsidRPr="00EA7BC0">
        <w:rPr>
          <w:i/>
          <w:iCs/>
          <w:lang w:val="en-AU"/>
        </w:rPr>
        <w:t>agent</w:t>
      </w:r>
      <w:r w:rsidRPr="0076233A">
        <w:rPr>
          <w:lang w:val="en-AU"/>
        </w:rPr>
        <w:t>, chase –</w:t>
      </w:r>
      <w:r>
        <w:rPr>
          <w:lang w:val="en-AU"/>
        </w:rPr>
        <w:t>&gt;</w:t>
      </w:r>
      <w:r w:rsidRPr="0076233A">
        <w:rPr>
          <w:lang w:val="en-AU"/>
        </w:rPr>
        <w:t xml:space="preserve"> </w:t>
      </w:r>
      <w:r w:rsidRPr="00EA7BC0">
        <w:rPr>
          <w:i/>
          <w:iCs/>
          <w:lang w:val="en-AU"/>
        </w:rPr>
        <w:t>action</w:t>
      </w:r>
      <w:r w:rsidRPr="0076233A">
        <w:rPr>
          <w:lang w:val="en-AU"/>
        </w:rPr>
        <w:t>, mouse –</w:t>
      </w:r>
      <w:r>
        <w:rPr>
          <w:lang w:val="en-AU"/>
        </w:rPr>
        <w:t>&gt;</w:t>
      </w:r>
      <w:r w:rsidRPr="0076233A">
        <w:rPr>
          <w:lang w:val="en-AU"/>
        </w:rPr>
        <w:t xml:space="preserve"> </w:t>
      </w:r>
      <w:r w:rsidRPr="00EA7BC0">
        <w:rPr>
          <w:i/>
          <w:iCs/>
          <w:lang w:val="en-AU"/>
        </w:rPr>
        <w:t>patient</w:t>
      </w:r>
      <w:r w:rsidRPr="0076233A">
        <w:rPr>
          <w:lang w:val="en-AU"/>
        </w:rPr>
        <w:t>)</w:t>
      </w:r>
      <w:r w:rsidR="00200F11">
        <w:rPr>
          <w:lang w:val="en-AU"/>
        </w:rPr>
        <w:t xml:space="preserve">, and </w:t>
      </w:r>
      <w:r w:rsidR="000326D3">
        <w:rPr>
          <w:lang w:val="en-AU"/>
        </w:rPr>
        <w:t xml:space="preserve">other </w:t>
      </w:r>
      <w:r w:rsidR="00285463">
        <w:rPr>
          <w:lang w:val="en-AU"/>
        </w:rPr>
        <w:t>important</w:t>
      </w:r>
      <w:r w:rsidR="000326D3">
        <w:rPr>
          <w:lang w:val="en-AU"/>
        </w:rPr>
        <w:t xml:space="preserve"> </w:t>
      </w:r>
      <w:r w:rsidR="00285463">
        <w:rPr>
          <w:lang w:val="en-AU"/>
        </w:rPr>
        <w:t>relational</w:t>
      </w:r>
      <w:r w:rsidR="00200F11">
        <w:rPr>
          <w:lang w:val="en-AU"/>
        </w:rPr>
        <w:t xml:space="preserve"> </w:t>
      </w:r>
      <w:r w:rsidR="00285463">
        <w:rPr>
          <w:lang w:val="en-AU"/>
        </w:rPr>
        <w:t>information</w:t>
      </w:r>
      <w:r w:rsidR="00200F11">
        <w:rPr>
          <w:lang w:val="en-AU"/>
        </w:rPr>
        <w:t xml:space="preserve"> is </w:t>
      </w:r>
      <w:r w:rsidR="000326D3">
        <w:rPr>
          <w:lang w:val="en-AU"/>
        </w:rPr>
        <w:t>attached where relevant</w:t>
      </w:r>
      <w:r w:rsidR="00200F11">
        <w:rPr>
          <w:lang w:val="en-AU"/>
        </w:rPr>
        <w:t xml:space="preserve"> (</w:t>
      </w:r>
      <w:r w:rsidR="000326D3">
        <w:rPr>
          <w:lang w:val="en-AU"/>
        </w:rPr>
        <w:t xml:space="preserve">for example, if </w:t>
      </w:r>
      <w:r w:rsidR="00200F11">
        <w:rPr>
          <w:lang w:val="en-AU"/>
        </w:rPr>
        <w:t xml:space="preserve">both </w:t>
      </w:r>
      <w:r w:rsidR="00285463" w:rsidRPr="00200F11">
        <w:rPr>
          <w:i/>
          <w:iCs/>
          <w:lang w:val="en-AU"/>
        </w:rPr>
        <w:t>mouse</w:t>
      </w:r>
      <w:r w:rsidR="00200F11">
        <w:rPr>
          <w:lang w:val="en-AU"/>
        </w:rPr>
        <w:t xml:space="preserve"> and </w:t>
      </w:r>
      <w:r w:rsidR="00200F11" w:rsidRPr="00200F11">
        <w:rPr>
          <w:i/>
          <w:iCs/>
          <w:lang w:val="en-AU"/>
        </w:rPr>
        <w:t>cat</w:t>
      </w:r>
      <w:r w:rsidR="00200F11">
        <w:rPr>
          <w:lang w:val="en-AU"/>
        </w:rPr>
        <w:t xml:space="preserve"> are </w:t>
      </w:r>
      <w:r w:rsidR="000326D3">
        <w:rPr>
          <w:lang w:val="en-AU"/>
        </w:rPr>
        <w:t>known</w:t>
      </w:r>
      <w:r w:rsidR="00200F11">
        <w:rPr>
          <w:lang w:val="en-AU"/>
        </w:rPr>
        <w:t xml:space="preserve"> </w:t>
      </w:r>
      <w:r w:rsidR="00285463">
        <w:rPr>
          <w:lang w:val="en-AU"/>
        </w:rPr>
        <w:t>entities</w:t>
      </w:r>
      <w:r w:rsidR="000326D3">
        <w:rPr>
          <w:lang w:val="en-AU"/>
        </w:rPr>
        <w:t xml:space="preserve"> they will be tagged as definite</w:t>
      </w:r>
      <w:r w:rsidR="00200F11">
        <w:rPr>
          <w:lang w:val="en-AU"/>
        </w:rPr>
        <w:t>, and</w:t>
      </w:r>
      <w:r w:rsidR="000326D3">
        <w:rPr>
          <w:lang w:val="en-AU"/>
        </w:rPr>
        <w:t xml:space="preserve"> if the event happened in the </w:t>
      </w:r>
      <w:r w:rsidR="00285463">
        <w:rPr>
          <w:lang w:val="en-AU"/>
        </w:rPr>
        <w:t>past</w:t>
      </w:r>
      <w:r w:rsidR="000326D3">
        <w:rPr>
          <w:lang w:val="en-AU"/>
        </w:rPr>
        <w:t>,</w:t>
      </w:r>
      <w:r w:rsidR="00200F11">
        <w:rPr>
          <w:lang w:val="en-AU"/>
        </w:rPr>
        <w:t xml:space="preserve"> </w:t>
      </w:r>
      <w:r w:rsidR="00200F11" w:rsidRPr="00200F11">
        <w:rPr>
          <w:i/>
          <w:iCs/>
          <w:lang w:val="en-AU"/>
        </w:rPr>
        <w:t>chase</w:t>
      </w:r>
      <w:r w:rsidR="00200F11">
        <w:rPr>
          <w:lang w:val="en-AU"/>
        </w:rPr>
        <w:t xml:space="preserve"> </w:t>
      </w:r>
      <w:r w:rsidR="000326D3">
        <w:rPr>
          <w:lang w:val="en-AU"/>
        </w:rPr>
        <w:t>will be</w:t>
      </w:r>
      <w:r w:rsidR="00200F11">
        <w:rPr>
          <w:lang w:val="en-AU"/>
        </w:rPr>
        <w:t xml:space="preserve"> tagged as past tense)</w:t>
      </w:r>
      <w:r w:rsidRPr="0076233A">
        <w:rPr>
          <w:lang w:val="en-AU"/>
        </w:rPr>
        <w:t>.</w:t>
      </w:r>
      <w:r w:rsidR="003D564D">
        <w:rPr>
          <w:lang w:val="en-AU"/>
        </w:rPr>
        <w:t xml:space="preserve"> </w:t>
      </w:r>
      <w:r w:rsidR="00285463">
        <w:rPr>
          <w:lang w:val="en-AU"/>
        </w:rPr>
        <w:t>The sequencing system will then select the first word, based on the information coded in the message-level representation</w:t>
      </w:r>
      <w:r w:rsidR="001F7D9E">
        <w:rPr>
          <w:lang w:val="en-AU"/>
        </w:rPr>
        <w:t xml:space="preserve"> – specifically, which content-element. Role </w:t>
      </w:r>
      <w:r w:rsidR="001F7D9E">
        <w:rPr>
          <w:lang w:val="en-AU"/>
        </w:rPr>
        <w:lastRenderedPageBreak/>
        <w:t xml:space="preserve">pairing is most strongly activated - </w:t>
      </w:r>
      <w:r w:rsidR="00285463">
        <w:rPr>
          <w:lang w:val="en-AU"/>
        </w:rPr>
        <w:t xml:space="preserve">and on its knowledge of the sequential tendencies that apply to different classes of words. </w:t>
      </w:r>
      <w:r>
        <w:rPr>
          <w:lang w:val="en-AU"/>
        </w:rPr>
        <w:t xml:space="preserve">The sequencing system ensures that the appropriate grammatical morphemes are also inserted. </w:t>
      </w:r>
    </w:p>
    <w:p w14:paraId="07F6F902" w14:textId="376C4C5F" w:rsidR="004F6E54" w:rsidRDefault="007829FC" w:rsidP="00632976">
      <w:pPr>
        <w:spacing w:line="480" w:lineRule="auto"/>
        <w:ind w:firstLine="720"/>
        <w:rPr>
          <w:lang w:val="en-AU"/>
        </w:rPr>
      </w:pPr>
      <w:r>
        <w:rPr>
          <w:lang w:val="en-AU"/>
        </w:rPr>
        <w:t>There are two</w:t>
      </w:r>
      <w:r w:rsidR="00832A5E">
        <w:rPr>
          <w:lang w:val="en-AU"/>
        </w:rPr>
        <w:t xml:space="preserve"> </w:t>
      </w:r>
      <w:r w:rsidR="009604CB">
        <w:rPr>
          <w:lang w:val="en-AU"/>
        </w:rPr>
        <w:t xml:space="preserve">useful </w:t>
      </w:r>
      <w:r>
        <w:rPr>
          <w:lang w:val="en-AU"/>
        </w:rPr>
        <w:t>feature</w:t>
      </w:r>
      <w:r w:rsidR="00A157B3">
        <w:rPr>
          <w:lang w:val="en-AU"/>
        </w:rPr>
        <w:t>s</w:t>
      </w:r>
      <w:r w:rsidR="00832A5E">
        <w:rPr>
          <w:lang w:val="en-AU"/>
        </w:rPr>
        <w:t xml:space="preserve"> of this model </w:t>
      </w:r>
      <w:r>
        <w:rPr>
          <w:lang w:val="en-AU"/>
        </w:rPr>
        <w:t xml:space="preserve">for our current </w:t>
      </w:r>
      <w:r w:rsidR="003773E4">
        <w:rPr>
          <w:lang w:val="en-AU"/>
        </w:rPr>
        <w:t>purposes</w:t>
      </w:r>
      <w:r>
        <w:rPr>
          <w:lang w:val="en-AU"/>
        </w:rPr>
        <w:t xml:space="preserve">. The first is its </w:t>
      </w:r>
      <w:r w:rsidR="004F11B8">
        <w:rPr>
          <w:lang w:val="en-AU"/>
        </w:rPr>
        <w:t>sequential</w:t>
      </w:r>
      <w:r>
        <w:rPr>
          <w:lang w:val="en-AU"/>
        </w:rPr>
        <w:t xml:space="preserve"> nature: </w:t>
      </w:r>
      <w:r w:rsidR="004F11B8">
        <w:rPr>
          <w:lang w:val="en-AU"/>
        </w:rPr>
        <w:t>the process of</w:t>
      </w:r>
      <w:r w:rsidR="00200F11">
        <w:rPr>
          <w:lang w:val="en-AU"/>
        </w:rPr>
        <w:t xml:space="preserve"> </w:t>
      </w:r>
      <w:r w:rsidR="00200F11" w:rsidRPr="00200F11">
        <w:rPr>
          <w:lang w:val="en-AU"/>
        </w:rPr>
        <w:t>word</w:t>
      </w:r>
      <w:r w:rsidR="004F11B8">
        <w:rPr>
          <w:lang w:val="en-AU"/>
        </w:rPr>
        <w:t xml:space="preserve"> selection</w:t>
      </w:r>
      <w:r>
        <w:rPr>
          <w:lang w:val="en-AU"/>
        </w:rPr>
        <w:t xml:space="preserve"> occurs </w:t>
      </w:r>
      <w:r w:rsidR="003773E4">
        <w:rPr>
          <w:lang w:val="en-AU"/>
        </w:rPr>
        <w:t>sequentially</w:t>
      </w:r>
      <w:r>
        <w:rPr>
          <w:lang w:val="en-AU"/>
        </w:rPr>
        <w:t xml:space="preserve">. The </w:t>
      </w:r>
      <w:r w:rsidR="003773E4">
        <w:rPr>
          <w:lang w:val="en-AU"/>
        </w:rPr>
        <w:t>second</w:t>
      </w:r>
      <w:r>
        <w:rPr>
          <w:lang w:val="en-AU"/>
        </w:rPr>
        <w:t xml:space="preserve"> feature is that </w:t>
      </w:r>
      <w:r w:rsidR="00497A3D">
        <w:rPr>
          <w:lang w:val="en-AU"/>
        </w:rPr>
        <w:t>the model</w:t>
      </w:r>
      <w:r w:rsidR="00832A5E">
        <w:rPr>
          <w:lang w:val="en-AU"/>
        </w:rPr>
        <w:t xml:space="preserve"> views </w:t>
      </w:r>
      <w:r w:rsidR="00832A5E" w:rsidRPr="009604CB">
        <w:rPr>
          <w:lang w:val="en-AU"/>
        </w:rPr>
        <w:t>syntactic</w:t>
      </w:r>
      <w:r w:rsidR="00832A5E">
        <w:rPr>
          <w:lang w:val="en-AU"/>
        </w:rPr>
        <w:t xml:space="preserve"> encoding as a relatively low-level process, supported by knowledge of the sequential regularities of language which has been massed from thousands of exposures to different sequences, making it highly robust to localised damage. </w:t>
      </w:r>
      <w:r w:rsidR="00632976">
        <w:rPr>
          <w:lang w:val="en-AU"/>
        </w:rPr>
        <w:t xml:space="preserve">The aspect of sentence planning that demands the greatest cognitive control is the generation and maintenance of the message-specific links between concept and role units, which must remain active throughout the process of sentence element selection. </w:t>
      </w:r>
    </w:p>
    <w:p w14:paraId="5BCB165D" w14:textId="18F2ECC6" w:rsidR="005932C0" w:rsidRDefault="002C7746" w:rsidP="00632976">
      <w:pPr>
        <w:spacing w:line="480" w:lineRule="auto"/>
        <w:ind w:firstLine="720"/>
        <w:rPr>
          <w:lang w:val="en-AU"/>
        </w:rPr>
      </w:pPr>
      <w:r>
        <w:rPr>
          <w:b/>
          <w:lang w:val="en-GB"/>
        </w:rPr>
        <w:t xml:space="preserve">4.2. </w:t>
      </w:r>
      <w:r w:rsidR="003F328C">
        <w:rPr>
          <w:b/>
          <w:lang w:val="en-GB"/>
        </w:rPr>
        <w:t>Application</w:t>
      </w:r>
      <w:r w:rsidR="002715E8">
        <w:rPr>
          <w:b/>
          <w:lang w:val="en-GB"/>
        </w:rPr>
        <w:t xml:space="preserve"> to current findings. </w:t>
      </w:r>
      <w:r w:rsidR="009604CB">
        <w:rPr>
          <w:lang w:val="en-AU"/>
        </w:rPr>
        <w:t>Within this framework</w:t>
      </w:r>
      <w:r w:rsidR="00181D43">
        <w:rPr>
          <w:lang w:val="en-AU"/>
        </w:rPr>
        <w:t>,</w:t>
      </w:r>
      <w:r w:rsidR="001F6DE2">
        <w:rPr>
          <w:lang w:val="en-AU"/>
        </w:rPr>
        <w:t xml:space="preserve"> </w:t>
      </w:r>
      <w:r w:rsidR="00181D43">
        <w:rPr>
          <w:lang w:val="en-AU"/>
        </w:rPr>
        <w:t xml:space="preserve">we </w:t>
      </w:r>
      <w:r w:rsidR="009604CB">
        <w:rPr>
          <w:lang w:val="en-AU"/>
        </w:rPr>
        <w:t xml:space="preserve">might </w:t>
      </w:r>
      <w:r w:rsidR="001F6DE2">
        <w:rPr>
          <w:lang w:val="en-AU"/>
        </w:rPr>
        <w:t xml:space="preserve">propose that </w:t>
      </w:r>
      <w:r w:rsidR="004F11B8">
        <w:rPr>
          <w:lang w:val="en-AU"/>
        </w:rPr>
        <w:t xml:space="preserve">the generation and maintenance of a set of </w:t>
      </w:r>
      <w:r w:rsidR="001F7D9E">
        <w:rPr>
          <w:lang w:val="en-AU"/>
        </w:rPr>
        <w:t>content element</w:t>
      </w:r>
      <w:r w:rsidR="004F11B8">
        <w:rPr>
          <w:lang w:val="en-AU"/>
        </w:rPr>
        <w:t>-role linkings</w:t>
      </w:r>
      <w:r w:rsidR="00181D43">
        <w:rPr>
          <w:lang w:val="en-AU"/>
        </w:rPr>
        <w:t xml:space="preserve"> </w:t>
      </w:r>
      <w:r w:rsidR="001F6DE2">
        <w:rPr>
          <w:lang w:val="en-AU"/>
        </w:rPr>
        <w:t xml:space="preserve">is supported by anterior language structures, including the LIFG, and </w:t>
      </w:r>
      <w:r w:rsidR="007B22C5">
        <w:rPr>
          <w:lang w:val="en-AU"/>
        </w:rPr>
        <w:t xml:space="preserve">that this process </w:t>
      </w:r>
      <w:r w:rsidR="001F6DE2">
        <w:rPr>
          <w:lang w:val="en-AU"/>
        </w:rPr>
        <w:t>can be compromised by damage to these regions</w:t>
      </w:r>
      <w:r w:rsidR="001F7D9E">
        <w:rPr>
          <w:lang w:val="en-AU"/>
        </w:rPr>
        <w:t>. This</w:t>
      </w:r>
      <w:r w:rsidR="00541895">
        <w:rPr>
          <w:lang w:val="en-AU"/>
        </w:rPr>
        <w:t xml:space="preserve"> will seriously compromise the </w:t>
      </w:r>
      <w:r w:rsidR="00506208">
        <w:rPr>
          <w:lang w:val="en-AU"/>
        </w:rPr>
        <w:t>ability</w:t>
      </w:r>
      <w:r w:rsidR="00541895">
        <w:rPr>
          <w:lang w:val="en-AU"/>
        </w:rPr>
        <w:t xml:space="preserve"> to </w:t>
      </w:r>
      <w:r w:rsidR="00506208">
        <w:rPr>
          <w:lang w:val="en-AU"/>
        </w:rPr>
        <w:t>generate</w:t>
      </w:r>
      <w:r w:rsidR="00541895">
        <w:rPr>
          <w:lang w:val="en-AU"/>
        </w:rPr>
        <w:t xml:space="preserve"> novel propositional speech, and will also lead to specific difficulties on more </w:t>
      </w:r>
      <w:r w:rsidR="00506208">
        <w:rPr>
          <w:lang w:val="en-AU"/>
        </w:rPr>
        <w:t>constrained</w:t>
      </w:r>
      <w:r w:rsidR="00541895">
        <w:rPr>
          <w:lang w:val="en-AU"/>
        </w:rPr>
        <w:t xml:space="preserve"> tasks of sentence and word </w:t>
      </w:r>
      <w:r w:rsidR="00506208">
        <w:rPr>
          <w:lang w:val="en-AU"/>
        </w:rPr>
        <w:t>production</w:t>
      </w:r>
      <w:r w:rsidR="00270E2A">
        <w:rPr>
          <w:lang w:val="en-AU"/>
        </w:rPr>
        <w:t>.</w:t>
      </w:r>
      <w:r w:rsidR="00D557C3">
        <w:rPr>
          <w:lang w:val="en-AU"/>
        </w:rPr>
        <w:t xml:space="preserve"> </w:t>
      </w:r>
      <w:r w:rsidR="00285463">
        <w:rPr>
          <w:lang w:val="en-AU"/>
        </w:rPr>
        <w:t xml:space="preserve">The absence of strong </w:t>
      </w:r>
      <w:r w:rsidR="001F7D9E">
        <w:rPr>
          <w:lang w:val="en-AU"/>
        </w:rPr>
        <w:t>content element</w:t>
      </w:r>
      <w:r w:rsidR="00285463">
        <w:rPr>
          <w:lang w:val="en-AU"/>
        </w:rPr>
        <w:t>-role linkages</w:t>
      </w:r>
      <w:r w:rsidR="00285463" w:rsidRPr="009A3DB1">
        <w:rPr>
          <w:lang w:val="en-AU"/>
        </w:rPr>
        <w:t xml:space="preserve"> </w:t>
      </w:r>
      <w:r w:rsidR="00285463">
        <w:rPr>
          <w:lang w:val="en-AU"/>
        </w:rPr>
        <w:t xml:space="preserve">will mean that word units are selected largely on the basis of which content elements </w:t>
      </w:r>
      <w:r w:rsidR="001F7D9E">
        <w:rPr>
          <w:lang w:val="en-AU"/>
        </w:rPr>
        <w:t>happen to be most</w:t>
      </w:r>
      <w:r w:rsidR="00285463">
        <w:rPr>
          <w:lang w:val="en-AU"/>
        </w:rPr>
        <w:t xml:space="preserve"> </w:t>
      </w:r>
      <w:r w:rsidR="001F7D9E">
        <w:rPr>
          <w:lang w:val="en-AU"/>
        </w:rPr>
        <w:t>highly</w:t>
      </w:r>
      <w:r w:rsidR="00285463">
        <w:rPr>
          <w:lang w:val="en-AU"/>
        </w:rPr>
        <w:t xml:space="preserve"> activated, and whether they are permissible for selection based on the dependencies coded within the sequencing system. </w:t>
      </w:r>
      <w:r w:rsidR="00886187">
        <w:rPr>
          <w:lang w:val="en-AU"/>
        </w:rPr>
        <w:t xml:space="preserve">In </w:t>
      </w:r>
      <w:r w:rsidR="00FE6BDE">
        <w:rPr>
          <w:lang w:val="en-AU"/>
        </w:rPr>
        <w:t xml:space="preserve">noun </w:t>
      </w:r>
      <w:r w:rsidR="00C82B64">
        <w:rPr>
          <w:lang w:val="en-AU"/>
        </w:rPr>
        <w:t>production</w:t>
      </w:r>
      <w:r w:rsidR="00886187">
        <w:rPr>
          <w:lang w:val="en-AU"/>
        </w:rPr>
        <w:t xml:space="preserve"> </w:t>
      </w:r>
      <w:r w:rsidR="002E70A5">
        <w:rPr>
          <w:lang w:val="en-AU"/>
        </w:rPr>
        <w:t>tasks</w:t>
      </w:r>
      <w:r w:rsidR="00541895">
        <w:rPr>
          <w:lang w:val="en-AU"/>
        </w:rPr>
        <w:t xml:space="preserve"> such as picture naming, </w:t>
      </w:r>
      <w:r w:rsidR="00FA39F1">
        <w:rPr>
          <w:lang w:val="en-AU"/>
        </w:rPr>
        <w:t xml:space="preserve">the grammatical class of the target word is </w:t>
      </w:r>
      <w:r w:rsidR="00541895">
        <w:rPr>
          <w:lang w:val="en-AU"/>
        </w:rPr>
        <w:t>fixed</w:t>
      </w:r>
      <w:r w:rsidR="002E70A5">
        <w:rPr>
          <w:lang w:val="en-AU"/>
        </w:rPr>
        <w:t xml:space="preserve">, </w:t>
      </w:r>
      <w:r w:rsidR="00541895">
        <w:rPr>
          <w:lang w:val="en-AU"/>
        </w:rPr>
        <w:t xml:space="preserve">so the </w:t>
      </w:r>
      <w:r w:rsidR="00832A5E" w:rsidRPr="009A3DB1">
        <w:rPr>
          <w:lang w:val="en-AU"/>
        </w:rPr>
        <w:t xml:space="preserve">competition </w:t>
      </w:r>
      <w:r w:rsidR="00FA39F1">
        <w:rPr>
          <w:lang w:val="en-AU"/>
        </w:rPr>
        <w:t xml:space="preserve">for </w:t>
      </w:r>
      <w:r w:rsidR="00285463">
        <w:rPr>
          <w:lang w:val="en-AU"/>
        </w:rPr>
        <w:t>selection</w:t>
      </w:r>
      <w:r w:rsidR="00FA39F1">
        <w:rPr>
          <w:lang w:val="en-AU"/>
        </w:rPr>
        <w:t xml:space="preserve"> </w:t>
      </w:r>
      <w:r w:rsidR="00886187">
        <w:rPr>
          <w:lang w:val="en-AU"/>
        </w:rPr>
        <w:t>will be won by whi</w:t>
      </w:r>
      <w:r w:rsidR="00C82B64">
        <w:rPr>
          <w:lang w:val="en-AU"/>
        </w:rPr>
        <w:t>ch</w:t>
      </w:r>
      <w:r w:rsidR="00886187">
        <w:rPr>
          <w:lang w:val="en-AU"/>
        </w:rPr>
        <w:t>ever</w:t>
      </w:r>
      <w:r w:rsidR="00832A5E" w:rsidRPr="009A3DB1">
        <w:rPr>
          <w:lang w:val="en-AU"/>
        </w:rPr>
        <w:t xml:space="preserve"> </w:t>
      </w:r>
      <w:r w:rsidR="00FE6BDE">
        <w:rPr>
          <w:lang w:val="en-AU"/>
        </w:rPr>
        <w:t xml:space="preserve">noun-compatible content </w:t>
      </w:r>
      <w:r w:rsidR="003C073C">
        <w:rPr>
          <w:lang w:val="en-AU"/>
        </w:rPr>
        <w:t>element is</w:t>
      </w:r>
      <w:r w:rsidR="00832A5E" w:rsidRPr="009A3DB1">
        <w:rPr>
          <w:lang w:val="en-AU"/>
        </w:rPr>
        <w:t xml:space="preserve"> most strongly activated</w:t>
      </w:r>
      <w:r w:rsidR="00C82B64">
        <w:rPr>
          <w:lang w:val="en-AU"/>
        </w:rPr>
        <w:t xml:space="preserve"> </w:t>
      </w:r>
      <w:r w:rsidR="00832A5E" w:rsidRPr="009A3DB1">
        <w:rPr>
          <w:lang w:val="en-AU"/>
        </w:rPr>
        <w:t xml:space="preserve">at the time. </w:t>
      </w:r>
      <w:r w:rsidR="003C3AF3">
        <w:rPr>
          <w:lang w:val="en-AU"/>
        </w:rPr>
        <w:t>It has been suggested that</w:t>
      </w:r>
      <w:r w:rsidR="004D7763">
        <w:rPr>
          <w:lang w:val="en-AU"/>
        </w:rPr>
        <w:t xml:space="preserve"> repeated naming of a small set of semantically related pictures </w:t>
      </w:r>
      <w:r w:rsidR="00C82B64">
        <w:rPr>
          <w:lang w:val="en-AU"/>
        </w:rPr>
        <w:t xml:space="preserve">is likely to induce high levels of </w:t>
      </w:r>
      <w:r w:rsidR="005932C0">
        <w:rPr>
          <w:lang w:val="en-AU"/>
        </w:rPr>
        <w:t>competition</w:t>
      </w:r>
      <w:r w:rsidR="00C82B64">
        <w:rPr>
          <w:lang w:val="en-AU"/>
        </w:rPr>
        <w:t xml:space="preserve">, </w:t>
      </w:r>
      <w:r w:rsidR="005932C0">
        <w:rPr>
          <w:lang w:val="en-AU"/>
        </w:rPr>
        <w:t>particular</w:t>
      </w:r>
      <w:r w:rsidR="00FA39F1">
        <w:rPr>
          <w:lang w:val="en-AU"/>
        </w:rPr>
        <w:t>ly</w:t>
      </w:r>
      <w:r w:rsidR="005932C0">
        <w:rPr>
          <w:lang w:val="en-AU"/>
        </w:rPr>
        <w:t xml:space="preserve"> as </w:t>
      </w:r>
      <w:r w:rsidR="00C82B64">
        <w:rPr>
          <w:lang w:val="en-AU"/>
        </w:rPr>
        <w:t xml:space="preserve">the </w:t>
      </w:r>
      <w:r w:rsidR="005932C0">
        <w:rPr>
          <w:lang w:val="en-AU"/>
        </w:rPr>
        <w:t>naming cycles</w:t>
      </w:r>
      <w:r w:rsidR="00C82B64">
        <w:rPr>
          <w:lang w:val="en-AU"/>
        </w:rPr>
        <w:t xml:space="preserve"> </w:t>
      </w:r>
      <w:r w:rsidR="005932C0">
        <w:rPr>
          <w:lang w:val="en-AU"/>
        </w:rPr>
        <w:t>progr</w:t>
      </w:r>
      <w:r w:rsidR="005932C0" w:rsidRPr="003C3AF3">
        <w:rPr>
          <w:lang w:val="en-AU"/>
        </w:rPr>
        <w:t>ess</w:t>
      </w:r>
      <w:r w:rsidR="00FA39F1" w:rsidRPr="003C3AF3">
        <w:rPr>
          <w:lang w:val="en-AU"/>
        </w:rPr>
        <w:t xml:space="preserve"> </w:t>
      </w:r>
      <w:r w:rsidR="003C3AF3">
        <w:rPr>
          <w:lang w:val="en-AU"/>
        </w:rPr>
        <w:t>(</w:t>
      </w:r>
      <w:r w:rsidR="003C3AF3" w:rsidRPr="003C3AF3">
        <w:rPr>
          <w:lang w:val="en-AU"/>
        </w:rPr>
        <w:t xml:space="preserve">Howard et al., 2006; </w:t>
      </w:r>
      <w:r w:rsidR="00053427" w:rsidRPr="00797375">
        <w:t>Roelofs, 2018</w:t>
      </w:r>
      <w:r w:rsidR="00053427" w:rsidRPr="003C3AF3">
        <w:t xml:space="preserve">; </w:t>
      </w:r>
      <w:r w:rsidR="00053427" w:rsidRPr="003C3AF3">
        <w:rPr>
          <w:lang w:val="en-AU"/>
        </w:rPr>
        <w:t xml:space="preserve">Schnur et al, 2006; but see Oppenheim et al., 2010, for an </w:t>
      </w:r>
      <w:r w:rsidR="003C3AF3" w:rsidRPr="003C3AF3">
        <w:rPr>
          <w:lang w:val="en-AU"/>
        </w:rPr>
        <w:t>alte</w:t>
      </w:r>
      <w:r w:rsidR="004D7763">
        <w:rPr>
          <w:lang w:val="en-AU"/>
        </w:rPr>
        <w:t>rn</w:t>
      </w:r>
      <w:r w:rsidR="003C3AF3" w:rsidRPr="003C3AF3">
        <w:rPr>
          <w:lang w:val="en-AU"/>
        </w:rPr>
        <w:t xml:space="preserve">ative </w:t>
      </w:r>
      <w:r w:rsidR="00053427" w:rsidRPr="003C3AF3">
        <w:rPr>
          <w:lang w:val="en-AU"/>
        </w:rPr>
        <w:t>account that</w:t>
      </w:r>
      <w:r w:rsidR="003C3AF3" w:rsidRPr="003C3AF3">
        <w:rPr>
          <w:lang w:val="en-AU"/>
        </w:rPr>
        <w:t xml:space="preserve"> emp</w:t>
      </w:r>
      <w:r w:rsidR="004D7763">
        <w:rPr>
          <w:lang w:val="en-AU"/>
        </w:rPr>
        <w:t>ha</w:t>
      </w:r>
      <w:r w:rsidR="003C3AF3" w:rsidRPr="003C3AF3">
        <w:rPr>
          <w:lang w:val="en-AU"/>
        </w:rPr>
        <w:t>sises learning effects</w:t>
      </w:r>
      <w:r w:rsidR="00FA39F1" w:rsidRPr="003C3AF3">
        <w:rPr>
          <w:lang w:val="en-AU"/>
        </w:rPr>
        <w:t>)</w:t>
      </w:r>
      <w:r w:rsidR="00C82B64">
        <w:rPr>
          <w:lang w:val="en-AU"/>
        </w:rPr>
        <w:t xml:space="preserve">. </w:t>
      </w:r>
      <w:r w:rsidR="00506208">
        <w:rPr>
          <w:lang w:val="en-AU"/>
        </w:rPr>
        <w:t xml:space="preserve">If this is indeed the case, then such effects are likely to be </w:t>
      </w:r>
      <w:r w:rsidR="00785157">
        <w:rPr>
          <w:lang w:val="en-AU"/>
        </w:rPr>
        <w:t>a</w:t>
      </w:r>
      <w:r w:rsidR="00506208">
        <w:rPr>
          <w:lang w:val="en-AU"/>
        </w:rPr>
        <w:t xml:space="preserve"> sensitive marker of difficulties at this level.</w:t>
      </w:r>
    </w:p>
    <w:p w14:paraId="0C7F582C" w14:textId="41A5C468" w:rsidR="002F3D3C" w:rsidRDefault="00886187" w:rsidP="00632976">
      <w:pPr>
        <w:spacing w:line="480" w:lineRule="auto"/>
        <w:ind w:firstLine="720"/>
        <w:rPr>
          <w:lang w:val="en-AU"/>
        </w:rPr>
      </w:pPr>
      <w:r>
        <w:rPr>
          <w:lang w:val="en-AU"/>
        </w:rPr>
        <w:lastRenderedPageBreak/>
        <w:t>In</w:t>
      </w:r>
      <w:r w:rsidR="00270E2A">
        <w:rPr>
          <w:lang w:val="en-AU"/>
        </w:rPr>
        <w:t xml:space="preserve"> </w:t>
      </w:r>
      <w:r w:rsidR="002E70A5">
        <w:rPr>
          <w:lang w:val="en-AU"/>
        </w:rPr>
        <w:t>constrained</w:t>
      </w:r>
      <w:r>
        <w:rPr>
          <w:lang w:val="en-AU"/>
        </w:rPr>
        <w:t xml:space="preserve"> sentence produc</w:t>
      </w:r>
      <w:r w:rsidR="00C82B64">
        <w:rPr>
          <w:lang w:val="en-AU"/>
        </w:rPr>
        <w:t>ti</w:t>
      </w:r>
      <w:r>
        <w:rPr>
          <w:lang w:val="en-AU"/>
        </w:rPr>
        <w:t>on</w:t>
      </w:r>
      <w:r w:rsidR="00270E2A">
        <w:rPr>
          <w:lang w:val="en-AU"/>
        </w:rPr>
        <w:t xml:space="preserve"> tasks like the ones used by </w:t>
      </w:r>
      <w:r w:rsidR="002E70A5">
        <w:rPr>
          <w:lang w:val="en-AU"/>
        </w:rPr>
        <w:t>Speer</w:t>
      </w:r>
      <w:r w:rsidR="00270E2A">
        <w:rPr>
          <w:lang w:val="en-AU"/>
        </w:rPr>
        <w:t xml:space="preserve"> and Wilshire</w:t>
      </w:r>
      <w:r w:rsidR="00FE6BDE">
        <w:rPr>
          <w:lang w:val="en-AU"/>
        </w:rPr>
        <w:t xml:space="preserve"> </w:t>
      </w:r>
      <w:r w:rsidR="00270E2A">
        <w:rPr>
          <w:lang w:val="en-AU"/>
        </w:rPr>
        <w:t>(2013),</w:t>
      </w:r>
      <w:r w:rsidR="00FE6BDE">
        <w:rPr>
          <w:lang w:val="en-AU"/>
        </w:rPr>
        <w:t xml:space="preserve"> </w:t>
      </w:r>
      <w:r w:rsidR="003C073C">
        <w:rPr>
          <w:lang w:val="en-AU"/>
        </w:rPr>
        <w:t xml:space="preserve">successful </w:t>
      </w:r>
      <w:r w:rsidR="00497A3D">
        <w:rPr>
          <w:lang w:val="en-AU"/>
        </w:rPr>
        <w:t xml:space="preserve">selection of the first </w:t>
      </w:r>
      <w:r w:rsidR="00FE2C61">
        <w:rPr>
          <w:lang w:val="en-AU"/>
        </w:rPr>
        <w:t>content</w:t>
      </w:r>
      <w:r w:rsidR="003C073C">
        <w:rPr>
          <w:lang w:val="en-AU"/>
        </w:rPr>
        <w:t xml:space="preserve"> element </w:t>
      </w:r>
      <w:r>
        <w:rPr>
          <w:lang w:val="en-AU"/>
        </w:rPr>
        <w:t xml:space="preserve">will </w:t>
      </w:r>
      <w:r w:rsidR="002E70A5">
        <w:rPr>
          <w:lang w:val="en-AU"/>
        </w:rPr>
        <w:t>again</w:t>
      </w:r>
      <w:r w:rsidR="00497A3D">
        <w:rPr>
          <w:lang w:val="en-AU"/>
        </w:rPr>
        <w:t xml:space="preserve"> </w:t>
      </w:r>
      <w:r>
        <w:rPr>
          <w:lang w:val="en-AU"/>
        </w:rPr>
        <w:t>dep</w:t>
      </w:r>
      <w:r w:rsidR="00C82B64">
        <w:rPr>
          <w:lang w:val="en-AU"/>
        </w:rPr>
        <w:t>end</w:t>
      </w:r>
      <w:r>
        <w:rPr>
          <w:lang w:val="en-AU"/>
        </w:rPr>
        <w:t xml:space="preserve"> largely on which </w:t>
      </w:r>
      <w:r w:rsidR="002E70A5">
        <w:rPr>
          <w:lang w:val="en-AU"/>
        </w:rPr>
        <w:t>concept</w:t>
      </w:r>
      <w:r w:rsidR="00FE2C61">
        <w:rPr>
          <w:lang w:val="en-AU"/>
        </w:rPr>
        <w:t xml:space="preserve"> is</w:t>
      </w:r>
      <w:r>
        <w:rPr>
          <w:lang w:val="en-AU"/>
        </w:rPr>
        <w:t xml:space="preserve"> most strongly</w:t>
      </w:r>
      <w:r w:rsidR="00FE2C61">
        <w:rPr>
          <w:lang w:val="en-AU"/>
        </w:rPr>
        <w:t xml:space="preserve"> activated</w:t>
      </w:r>
      <w:r>
        <w:rPr>
          <w:lang w:val="en-AU"/>
        </w:rPr>
        <w:t xml:space="preserve"> in the </w:t>
      </w:r>
      <w:r w:rsidR="005932C0">
        <w:rPr>
          <w:lang w:val="en-AU"/>
        </w:rPr>
        <w:t xml:space="preserve">mind </w:t>
      </w:r>
      <w:r>
        <w:rPr>
          <w:lang w:val="en-AU"/>
        </w:rPr>
        <w:t xml:space="preserve">of the speaker at </w:t>
      </w:r>
      <w:r w:rsidR="00FA39F1">
        <w:rPr>
          <w:lang w:val="en-AU"/>
        </w:rPr>
        <w:t>that</w:t>
      </w:r>
      <w:r>
        <w:rPr>
          <w:lang w:val="en-AU"/>
        </w:rPr>
        <w:t xml:space="preserve"> time</w:t>
      </w:r>
      <w:r w:rsidR="00FE2C61">
        <w:rPr>
          <w:lang w:val="en-AU"/>
        </w:rPr>
        <w:t xml:space="preserve"> – most probably, </w:t>
      </w:r>
      <w:r w:rsidR="00676085">
        <w:rPr>
          <w:lang w:val="en-AU"/>
        </w:rPr>
        <w:t>the agent of the action to be descri</w:t>
      </w:r>
      <w:r>
        <w:rPr>
          <w:lang w:val="en-AU"/>
        </w:rPr>
        <w:t>b</w:t>
      </w:r>
      <w:r w:rsidR="00676085">
        <w:rPr>
          <w:lang w:val="en-AU"/>
        </w:rPr>
        <w:t xml:space="preserve">ed. </w:t>
      </w:r>
      <w:r w:rsidR="00541895">
        <w:rPr>
          <w:lang w:val="en-AU"/>
        </w:rPr>
        <w:t xml:space="preserve">A </w:t>
      </w:r>
      <w:r w:rsidR="00506208">
        <w:rPr>
          <w:lang w:val="en-AU"/>
        </w:rPr>
        <w:t>complete</w:t>
      </w:r>
      <w:r w:rsidR="00541895">
        <w:rPr>
          <w:lang w:val="en-AU"/>
        </w:rPr>
        <w:t xml:space="preserve">, </w:t>
      </w:r>
      <w:r w:rsidR="00506208">
        <w:rPr>
          <w:lang w:val="en-AU"/>
        </w:rPr>
        <w:t>robust</w:t>
      </w:r>
      <w:r w:rsidR="00541895">
        <w:rPr>
          <w:lang w:val="en-AU"/>
        </w:rPr>
        <w:t xml:space="preserve">, message-level representation may not be </w:t>
      </w:r>
      <w:r w:rsidR="00506208">
        <w:rPr>
          <w:lang w:val="en-AU"/>
        </w:rPr>
        <w:t>required</w:t>
      </w:r>
      <w:r w:rsidR="001F7D9E">
        <w:rPr>
          <w:lang w:val="en-AU"/>
        </w:rPr>
        <w:t xml:space="preserve"> at this stage</w:t>
      </w:r>
      <w:r w:rsidR="00541895">
        <w:rPr>
          <w:lang w:val="en-AU"/>
        </w:rPr>
        <w:t xml:space="preserve">. </w:t>
      </w:r>
      <w:r w:rsidR="00506208">
        <w:rPr>
          <w:lang w:val="en-AU"/>
        </w:rPr>
        <w:t xml:space="preserve">However, selection of content elements for later sentence positions will depend crucially on the robustness of the message-level representation. Without such a representation to “drive” content element selection, the system becomes more vulnerable to interference from non-target content elements that are also currently active – which may include </w:t>
      </w:r>
      <w:r w:rsidR="001F7D9E">
        <w:rPr>
          <w:lang w:val="en-AU"/>
        </w:rPr>
        <w:t>those</w:t>
      </w:r>
      <w:r w:rsidR="00506208">
        <w:rPr>
          <w:lang w:val="en-AU"/>
        </w:rPr>
        <w:t xml:space="preserve"> that have recently been produced, </w:t>
      </w:r>
      <w:r w:rsidR="001F7D9E">
        <w:rPr>
          <w:lang w:val="en-AU"/>
        </w:rPr>
        <w:t xml:space="preserve">those being considered for later production, </w:t>
      </w:r>
      <w:r w:rsidR="00506208">
        <w:rPr>
          <w:lang w:val="en-AU"/>
        </w:rPr>
        <w:t xml:space="preserve">and perhaps also those that share semantic similarities with active content elements. </w:t>
      </w:r>
      <w:r w:rsidR="00501EE6">
        <w:rPr>
          <w:lang w:val="en-AU"/>
        </w:rPr>
        <w:t xml:space="preserve">Hence, this framework offers a plausible account as to why those with difficulty generating message-level representations </w:t>
      </w:r>
      <w:r w:rsidR="00FA39F1">
        <w:rPr>
          <w:lang w:val="en-AU"/>
        </w:rPr>
        <w:t>might</w:t>
      </w:r>
      <w:r w:rsidR="00501EE6">
        <w:rPr>
          <w:lang w:val="en-AU"/>
        </w:rPr>
        <w:t xml:space="preserve"> be more successful at producing the first content word in the utterance (in </w:t>
      </w:r>
      <w:r w:rsidR="00541895">
        <w:rPr>
          <w:lang w:val="en-AU"/>
        </w:rPr>
        <w:t>this instance</w:t>
      </w:r>
      <w:r w:rsidR="00501EE6">
        <w:rPr>
          <w:lang w:val="en-AU"/>
        </w:rPr>
        <w:t>, the agent/subject noun) than its later elements.</w:t>
      </w:r>
    </w:p>
    <w:p w14:paraId="7FB22C13" w14:textId="66D33780" w:rsidR="00270E2A" w:rsidRDefault="00FE6BDE" w:rsidP="00270E2A">
      <w:pPr>
        <w:spacing w:line="480" w:lineRule="auto"/>
        <w:ind w:firstLine="720"/>
        <w:rPr>
          <w:lang w:val="en-AU"/>
        </w:rPr>
      </w:pPr>
      <w:r>
        <w:rPr>
          <w:lang w:val="en-AU"/>
        </w:rPr>
        <w:t>In this study</w:t>
      </w:r>
      <w:r w:rsidR="00541895">
        <w:rPr>
          <w:lang w:val="en-AU"/>
        </w:rPr>
        <w:t>,</w:t>
      </w:r>
      <w:r w:rsidR="00270E2A">
        <w:rPr>
          <w:lang w:val="en-AU"/>
        </w:rPr>
        <w:t xml:space="preserve"> we observed</w:t>
      </w:r>
      <w:r w:rsidR="002F3D3C">
        <w:rPr>
          <w:lang w:val="en-AU"/>
        </w:rPr>
        <w:t xml:space="preserve"> two further patterns of performance that </w:t>
      </w:r>
      <w:r w:rsidR="00270E2A">
        <w:rPr>
          <w:lang w:val="en-AU"/>
        </w:rPr>
        <w:t>were</w:t>
      </w:r>
      <w:r w:rsidR="002F3D3C">
        <w:rPr>
          <w:lang w:val="en-AU"/>
        </w:rPr>
        <w:t xml:space="preserve"> </w:t>
      </w:r>
      <w:r w:rsidR="00501EE6">
        <w:rPr>
          <w:lang w:val="en-AU"/>
        </w:rPr>
        <w:t>significantly</w:t>
      </w:r>
      <w:r w:rsidR="00447D98">
        <w:rPr>
          <w:lang w:val="en-AU"/>
        </w:rPr>
        <w:t xml:space="preserve"> more common </w:t>
      </w:r>
      <w:r w:rsidR="002E70A5">
        <w:rPr>
          <w:lang w:val="en-AU"/>
        </w:rPr>
        <w:t>following</w:t>
      </w:r>
      <w:r w:rsidR="00447D98">
        <w:rPr>
          <w:lang w:val="en-AU"/>
        </w:rPr>
        <w:t xml:space="preserve"> </w:t>
      </w:r>
      <w:r w:rsidR="00501EE6">
        <w:rPr>
          <w:lang w:val="en-AU"/>
        </w:rPr>
        <w:t>damage</w:t>
      </w:r>
      <w:r w:rsidR="00447D98">
        <w:rPr>
          <w:lang w:val="en-AU"/>
        </w:rPr>
        <w:t xml:space="preserve"> to the LI</w:t>
      </w:r>
      <w:r w:rsidR="00270E2A">
        <w:rPr>
          <w:lang w:val="en-AU"/>
        </w:rPr>
        <w:t>FG</w:t>
      </w:r>
      <w:r w:rsidR="00447D98">
        <w:rPr>
          <w:lang w:val="en-AU"/>
        </w:rPr>
        <w:t xml:space="preserve">/middle </w:t>
      </w:r>
      <w:r w:rsidR="00501EE6">
        <w:rPr>
          <w:lang w:val="en-AU"/>
        </w:rPr>
        <w:t>frontal</w:t>
      </w:r>
      <w:r w:rsidR="00447D98">
        <w:rPr>
          <w:lang w:val="en-AU"/>
        </w:rPr>
        <w:t xml:space="preserve"> gyrus</w:t>
      </w:r>
      <w:r w:rsidR="00270E2A">
        <w:rPr>
          <w:lang w:val="en-AU"/>
        </w:rPr>
        <w:t xml:space="preserve"> (and also </w:t>
      </w:r>
      <w:r>
        <w:rPr>
          <w:lang w:val="en-AU"/>
        </w:rPr>
        <w:t>following</w:t>
      </w:r>
      <w:r w:rsidR="00270E2A">
        <w:rPr>
          <w:lang w:val="en-AU"/>
        </w:rPr>
        <w:t xml:space="preserve"> insula/</w:t>
      </w:r>
      <w:r w:rsidR="002E70A5">
        <w:rPr>
          <w:lang w:val="en-AU"/>
        </w:rPr>
        <w:t>central</w:t>
      </w:r>
      <w:r w:rsidR="00270E2A">
        <w:rPr>
          <w:lang w:val="en-AU"/>
        </w:rPr>
        <w:t xml:space="preserve"> operculum </w:t>
      </w:r>
      <w:r w:rsidR="002E70A5">
        <w:rPr>
          <w:lang w:val="en-AU"/>
        </w:rPr>
        <w:t>damage</w:t>
      </w:r>
      <w:r w:rsidR="00270E2A">
        <w:rPr>
          <w:lang w:val="en-AU"/>
        </w:rPr>
        <w:t xml:space="preserve">, </w:t>
      </w:r>
      <w:r>
        <w:rPr>
          <w:lang w:val="en-AU"/>
        </w:rPr>
        <w:t>which we will</w:t>
      </w:r>
      <w:r w:rsidR="00270E2A">
        <w:rPr>
          <w:lang w:val="en-AU"/>
        </w:rPr>
        <w:t xml:space="preserve"> discuss </w:t>
      </w:r>
      <w:r w:rsidR="002E70A5">
        <w:rPr>
          <w:lang w:val="en-AU"/>
        </w:rPr>
        <w:t>below</w:t>
      </w:r>
      <w:r w:rsidR="00270E2A">
        <w:rPr>
          <w:lang w:val="en-AU"/>
        </w:rPr>
        <w:t>)</w:t>
      </w:r>
      <w:r w:rsidR="002F3D3C">
        <w:rPr>
          <w:lang w:val="en-AU"/>
        </w:rPr>
        <w:t xml:space="preserve">. This first </w:t>
      </w:r>
      <w:r w:rsidR="00270E2A">
        <w:rPr>
          <w:lang w:val="en-AU"/>
        </w:rPr>
        <w:t>was poorer accuracy on sentences commencing with a low frequency subject noun. W</w:t>
      </w:r>
      <w:r w:rsidR="002E70A5">
        <w:rPr>
          <w:lang w:val="en-AU"/>
        </w:rPr>
        <w:t>ithout</w:t>
      </w:r>
      <w:r w:rsidR="00270E2A">
        <w:rPr>
          <w:lang w:val="en-AU"/>
        </w:rPr>
        <w:t xml:space="preserve"> a robust </w:t>
      </w:r>
      <w:r w:rsidR="002E70A5">
        <w:rPr>
          <w:lang w:val="en-AU"/>
        </w:rPr>
        <w:t xml:space="preserve">top-down signal from the </w:t>
      </w:r>
      <w:r w:rsidR="00270E2A">
        <w:rPr>
          <w:lang w:val="en-AU"/>
        </w:rPr>
        <w:t>message</w:t>
      </w:r>
      <w:r w:rsidR="002E70A5">
        <w:rPr>
          <w:lang w:val="en-AU"/>
        </w:rPr>
        <w:t xml:space="preserve"> </w:t>
      </w:r>
      <w:r w:rsidR="00270E2A">
        <w:rPr>
          <w:lang w:val="en-AU"/>
        </w:rPr>
        <w:t>level</w:t>
      </w:r>
      <w:r w:rsidR="002E70A5">
        <w:rPr>
          <w:lang w:val="en-AU"/>
        </w:rPr>
        <w:t xml:space="preserve">, </w:t>
      </w:r>
      <w:r>
        <w:rPr>
          <w:lang w:val="en-AU"/>
        </w:rPr>
        <w:t xml:space="preserve">the </w:t>
      </w:r>
      <w:r w:rsidR="002E70A5">
        <w:rPr>
          <w:lang w:val="en-AU"/>
        </w:rPr>
        <w:t xml:space="preserve">sentence planning system becomes more vulnerable to </w:t>
      </w:r>
      <w:r w:rsidR="00A35F54">
        <w:rPr>
          <w:lang w:val="en-AU"/>
        </w:rPr>
        <w:t>current</w:t>
      </w:r>
      <w:r w:rsidR="002E70A5">
        <w:rPr>
          <w:lang w:val="en-AU"/>
        </w:rPr>
        <w:t xml:space="preserve"> </w:t>
      </w:r>
      <w:r w:rsidR="00FA39F1">
        <w:rPr>
          <w:lang w:val="en-AU"/>
        </w:rPr>
        <w:t>patterns of activation</w:t>
      </w:r>
      <w:r w:rsidR="002E70A5">
        <w:rPr>
          <w:lang w:val="en-AU"/>
        </w:rPr>
        <w:t xml:space="preserve"> </w:t>
      </w:r>
      <w:r>
        <w:rPr>
          <w:lang w:val="en-AU"/>
        </w:rPr>
        <w:t>in the meaning system</w:t>
      </w:r>
      <w:r w:rsidR="00A35F54">
        <w:rPr>
          <w:lang w:val="en-AU"/>
        </w:rPr>
        <w:t>, which are subject to decay</w:t>
      </w:r>
      <w:r w:rsidR="002E70A5">
        <w:rPr>
          <w:lang w:val="en-AU"/>
        </w:rPr>
        <w:t xml:space="preserve">. </w:t>
      </w:r>
      <w:r w:rsidR="00A35F54">
        <w:rPr>
          <w:lang w:val="en-AU"/>
        </w:rPr>
        <w:t xml:space="preserve">Therefore, any factor that introduces planning </w:t>
      </w:r>
      <w:r w:rsidR="00270E2A">
        <w:rPr>
          <w:lang w:val="en-AU"/>
        </w:rPr>
        <w:t>delays, particularly early in the</w:t>
      </w:r>
      <w:r w:rsidR="00A35F54">
        <w:rPr>
          <w:lang w:val="en-AU"/>
        </w:rPr>
        <w:t xml:space="preserve"> process</w:t>
      </w:r>
      <w:r w:rsidR="002E70A5">
        <w:rPr>
          <w:lang w:val="en-AU"/>
        </w:rPr>
        <w:t xml:space="preserve">, will </w:t>
      </w:r>
      <w:r w:rsidR="00A35F54">
        <w:rPr>
          <w:lang w:val="en-AU"/>
        </w:rPr>
        <w:t>be likely to lead to selection failures downstream</w:t>
      </w:r>
      <w:r w:rsidR="002E70A5">
        <w:rPr>
          <w:lang w:val="en-AU"/>
        </w:rPr>
        <w:t>.</w:t>
      </w:r>
      <w:r w:rsidR="00270E2A">
        <w:rPr>
          <w:lang w:val="en-AU"/>
        </w:rPr>
        <w:t xml:space="preserve"> The second pattern </w:t>
      </w:r>
      <w:r w:rsidR="00A35F54">
        <w:rPr>
          <w:lang w:val="en-AU"/>
        </w:rPr>
        <w:t xml:space="preserve">we found to be associated with LIFG/middle frontal gyrus damage </w:t>
      </w:r>
      <w:r w:rsidR="002F3D3C">
        <w:rPr>
          <w:lang w:val="en-AU"/>
        </w:rPr>
        <w:t>was</w:t>
      </w:r>
      <w:r w:rsidR="00447D98">
        <w:rPr>
          <w:lang w:val="en-AU"/>
        </w:rPr>
        <w:t xml:space="preserve"> poorer accuracy </w:t>
      </w:r>
      <w:r w:rsidR="00A35F54">
        <w:rPr>
          <w:lang w:val="en-AU"/>
        </w:rPr>
        <w:t>on</w:t>
      </w:r>
      <w:r w:rsidR="00447D98">
        <w:rPr>
          <w:lang w:val="en-AU"/>
        </w:rPr>
        <w:t xml:space="preserve"> sentences </w:t>
      </w:r>
      <w:r w:rsidR="00270E2A">
        <w:rPr>
          <w:lang w:val="en-AU"/>
        </w:rPr>
        <w:t xml:space="preserve">that </w:t>
      </w:r>
      <w:r w:rsidR="00501EE6">
        <w:rPr>
          <w:lang w:val="en-AU"/>
        </w:rPr>
        <w:t>contained</w:t>
      </w:r>
      <w:r w:rsidR="00447D98">
        <w:rPr>
          <w:lang w:val="en-AU"/>
        </w:rPr>
        <w:t xml:space="preserve"> </w:t>
      </w:r>
      <w:r w:rsidR="00501EE6">
        <w:rPr>
          <w:lang w:val="en-AU"/>
        </w:rPr>
        <w:t>semantically</w:t>
      </w:r>
      <w:r w:rsidR="00447D98">
        <w:rPr>
          <w:lang w:val="en-AU"/>
        </w:rPr>
        <w:t xml:space="preserve"> related nouns. An explanation for this phenomenon falls out neatly from our proposed framework: </w:t>
      </w:r>
      <w:r w:rsidR="00501EE6">
        <w:rPr>
          <w:lang w:val="en-AU"/>
        </w:rPr>
        <w:t>without</w:t>
      </w:r>
      <w:r w:rsidR="00353C4A">
        <w:rPr>
          <w:lang w:val="en-AU"/>
        </w:rPr>
        <w:t xml:space="preserve"> a </w:t>
      </w:r>
      <w:r w:rsidR="00501EE6">
        <w:rPr>
          <w:lang w:val="en-AU"/>
        </w:rPr>
        <w:t>robust</w:t>
      </w:r>
      <w:r w:rsidR="00353C4A">
        <w:rPr>
          <w:lang w:val="en-AU"/>
        </w:rPr>
        <w:t xml:space="preserve"> message-level </w:t>
      </w:r>
      <w:r w:rsidR="00501EE6">
        <w:rPr>
          <w:lang w:val="en-AU"/>
        </w:rPr>
        <w:t>representation</w:t>
      </w:r>
      <w:r w:rsidR="00353C4A">
        <w:rPr>
          <w:lang w:val="en-AU"/>
        </w:rPr>
        <w:t xml:space="preserve"> that ties concept</w:t>
      </w:r>
      <w:r w:rsidR="00A35F54">
        <w:rPr>
          <w:lang w:val="en-AU"/>
        </w:rPr>
        <w:t>s</w:t>
      </w:r>
      <w:r w:rsidR="00353C4A">
        <w:rPr>
          <w:lang w:val="en-AU"/>
        </w:rPr>
        <w:t xml:space="preserve"> to their roles, </w:t>
      </w:r>
      <w:r w:rsidR="00C61866">
        <w:rPr>
          <w:lang w:val="en-AU"/>
        </w:rPr>
        <w:t>content elements</w:t>
      </w:r>
      <w:r w:rsidR="00353C4A">
        <w:rPr>
          <w:lang w:val="en-AU"/>
        </w:rPr>
        <w:t xml:space="preserve"> will be more </w:t>
      </w:r>
      <w:r w:rsidR="00270E2A">
        <w:rPr>
          <w:lang w:val="en-AU"/>
        </w:rPr>
        <w:t xml:space="preserve">likely </w:t>
      </w:r>
      <w:r w:rsidR="00353C4A">
        <w:rPr>
          <w:lang w:val="en-AU"/>
        </w:rPr>
        <w:t xml:space="preserve">compete with one </w:t>
      </w:r>
      <w:r w:rsidR="00501EE6">
        <w:rPr>
          <w:lang w:val="en-AU"/>
        </w:rPr>
        <w:t>another</w:t>
      </w:r>
      <w:r w:rsidR="00353C4A">
        <w:rPr>
          <w:lang w:val="en-AU"/>
        </w:rPr>
        <w:t xml:space="preserve"> for selection at a given position. </w:t>
      </w:r>
      <w:r w:rsidR="00501EE6">
        <w:rPr>
          <w:lang w:val="en-AU"/>
        </w:rPr>
        <w:t>Consequently</w:t>
      </w:r>
      <w:r w:rsidR="00447D98">
        <w:rPr>
          <w:lang w:val="en-AU"/>
        </w:rPr>
        <w:t xml:space="preserve">, any </w:t>
      </w:r>
      <w:r w:rsidR="00501EE6">
        <w:rPr>
          <w:lang w:val="en-AU"/>
        </w:rPr>
        <w:t>manipulation</w:t>
      </w:r>
      <w:r w:rsidR="00447D98">
        <w:rPr>
          <w:lang w:val="en-AU"/>
        </w:rPr>
        <w:t xml:space="preserve"> </w:t>
      </w:r>
      <w:r w:rsidR="00501EE6">
        <w:rPr>
          <w:lang w:val="en-AU"/>
        </w:rPr>
        <w:t>that</w:t>
      </w:r>
      <w:r w:rsidR="00447D98">
        <w:rPr>
          <w:lang w:val="en-AU"/>
        </w:rPr>
        <w:t xml:space="preserve"> enhances the degree of </w:t>
      </w:r>
      <w:r w:rsidR="00501EE6">
        <w:rPr>
          <w:lang w:val="en-AU"/>
        </w:rPr>
        <w:t>competition</w:t>
      </w:r>
      <w:r w:rsidR="00447D98">
        <w:rPr>
          <w:lang w:val="en-AU"/>
        </w:rPr>
        <w:t xml:space="preserve"> between two element</w:t>
      </w:r>
      <w:r w:rsidR="002F3D3C">
        <w:rPr>
          <w:lang w:val="en-AU"/>
        </w:rPr>
        <w:t xml:space="preserve">s - </w:t>
      </w:r>
      <w:r w:rsidR="00447D98">
        <w:rPr>
          <w:lang w:val="en-AU"/>
        </w:rPr>
        <w:t>in this case, increasing their semantic relatedness</w:t>
      </w:r>
      <w:r w:rsidR="002F3D3C">
        <w:rPr>
          <w:lang w:val="en-AU"/>
        </w:rPr>
        <w:t xml:space="preserve"> - </w:t>
      </w:r>
      <w:r w:rsidR="00447D98">
        <w:rPr>
          <w:lang w:val="en-AU"/>
        </w:rPr>
        <w:t xml:space="preserve">will tend to lead to more </w:t>
      </w:r>
      <w:r w:rsidR="00501EE6">
        <w:rPr>
          <w:lang w:val="en-AU"/>
        </w:rPr>
        <w:t>sentence</w:t>
      </w:r>
      <w:r w:rsidR="00447D98">
        <w:rPr>
          <w:lang w:val="en-AU"/>
        </w:rPr>
        <w:t xml:space="preserve"> production </w:t>
      </w:r>
      <w:r w:rsidR="00501EE6">
        <w:rPr>
          <w:lang w:val="en-AU"/>
        </w:rPr>
        <w:t>failures</w:t>
      </w:r>
      <w:r w:rsidR="00447D98">
        <w:rPr>
          <w:lang w:val="en-AU"/>
        </w:rPr>
        <w:t xml:space="preserve">. </w:t>
      </w:r>
    </w:p>
    <w:p w14:paraId="7F790426" w14:textId="79BE2599" w:rsidR="00542BDD" w:rsidRDefault="002F3D3C" w:rsidP="00542BDD">
      <w:pPr>
        <w:spacing w:line="480" w:lineRule="auto"/>
        <w:ind w:firstLine="720"/>
        <w:rPr>
          <w:lang w:val="en-AU"/>
        </w:rPr>
      </w:pPr>
      <w:r>
        <w:rPr>
          <w:lang w:val="en-AU"/>
        </w:rPr>
        <w:lastRenderedPageBreak/>
        <w:t>W</w:t>
      </w:r>
      <w:r w:rsidR="0085248D">
        <w:rPr>
          <w:lang w:val="en-AU"/>
        </w:rPr>
        <w:t>e</w:t>
      </w:r>
      <w:r>
        <w:rPr>
          <w:lang w:val="en-AU"/>
        </w:rPr>
        <w:t xml:space="preserve"> now </w:t>
      </w:r>
      <w:r w:rsidR="00A35F54">
        <w:rPr>
          <w:lang w:val="en-AU"/>
        </w:rPr>
        <w:t>turn to</w:t>
      </w:r>
      <w:r>
        <w:rPr>
          <w:lang w:val="en-AU"/>
        </w:rPr>
        <w:t xml:space="preserve"> </w:t>
      </w:r>
      <w:r w:rsidR="003F328C">
        <w:rPr>
          <w:lang w:val="en-AU"/>
        </w:rPr>
        <w:t>our second propose</w:t>
      </w:r>
      <w:r w:rsidR="001F66CC">
        <w:rPr>
          <w:lang w:val="en-AU"/>
        </w:rPr>
        <w:t xml:space="preserve">d </w:t>
      </w:r>
      <w:r w:rsidR="00506208">
        <w:rPr>
          <w:lang w:val="en-AU"/>
        </w:rPr>
        <w:t>factor</w:t>
      </w:r>
      <w:r w:rsidR="00561CE0">
        <w:rPr>
          <w:lang w:val="en-AU"/>
        </w:rPr>
        <w:t xml:space="preserve"> contributing to </w:t>
      </w:r>
      <w:r w:rsidR="00506208">
        <w:rPr>
          <w:lang w:val="en-AU"/>
        </w:rPr>
        <w:t>sentence</w:t>
      </w:r>
      <w:r w:rsidR="00561CE0">
        <w:rPr>
          <w:lang w:val="en-AU"/>
        </w:rPr>
        <w:t xml:space="preserve"> </w:t>
      </w:r>
      <w:r w:rsidR="00506208">
        <w:rPr>
          <w:lang w:val="en-AU"/>
        </w:rPr>
        <w:t>production</w:t>
      </w:r>
      <w:r w:rsidR="00561CE0">
        <w:rPr>
          <w:lang w:val="en-AU"/>
        </w:rPr>
        <w:t xml:space="preserve"> </w:t>
      </w:r>
      <w:r w:rsidR="00506208">
        <w:rPr>
          <w:lang w:val="en-AU"/>
        </w:rPr>
        <w:t>difficulties</w:t>
      </w:r>
      <w:r w:rsidR="00561CE0">
        <w:rPr>
          <w:lang w:val="en-AU"/>
        </w:rPr>
        <w:t xml:space="preserve"> – the </w:t>
      </w:r>
      <w:r w:rsidR="003F328C">
        <w:rPr>
          <w:lang w:val="en-AU"/>
        </w:rPr>
        <w:t xml:space="preserve">“timing” </w:t>
      </w:r>
      <w:r w:rsidR="00D6697D">
        <w:rPr>
          <w:lang w:val="en-AU"/>
        </w:rPr>
        <w:t xml:space="preserve">factor - </w:t>
      </w:r>
      <w:r w:rsidR="00A35F54">
        <w:rPr>
          <w:lang w:val="en-AU"/>
        </w:rPr>
        <w:t>and consider how it</w:t>
      </w:r>
      <w:r>
        <w:rPr>
          <w:lang w:val="en-AU"/>
        </w:rPr>
        <w:t xml:space="preserve"> might be </w:t>
      </w:r>
      <w:r w:rsidR="00501EE6">
        <w:rPr>
          <w:lang w:val="en-AU"/>
        </w:rPr>
        <w:t>conceptualised</w:t>
      </w:r>
      <w:r>
        <w:rPr>
          <w:lang w:val="en-AU"/>
        </w:rPr>
        <w:t xml:space="preserve"> within this framework. </w:t>
      </w:r>
      <w:r w:rsidR="00501EE6">
        <w:rPr>
          <w:lang w:val="en-AU"/>
        </w:rPr>
        <w:t xml:space="preserve">A central feature of the Chang model is that sentence planning proceeds one </w:t>
      </w:r>
      <w:r w:rsidR="00FA39F1">
        <w:rPr>
          <w:lang w:val="en-AU"/>
        </w:rPr>
        <w:t>word</w:t>
      </w:r>
      <w:r w:rsidR="00501EE6">
        <w:rPr>
          <w:lang w:val="en-AU"/>
        </w:rPr>
        <w:t xml:space="preserve"> at a time</w:t>
      </w:r>
      <w:r w:rsidR="00FA39F1">
        <w:rPr>
          <w:lang w:val="en-AU"/>
        </w:rPr>
        <w:t>. If we assume that the message-</w:t>
      </w:r>
      <w:r w:rsidR="00285463">
        <w:rPr>
          <w:lang w:val="en-AU"/>
        </w:rPr>
        <w:t>level</w:t>
      </w:r>
      <w:r w:rsidR="00FA39F1">
        <w:rPr>
          <w:lang w:val="en-AU"/>
        </w:rPr>
        <w:t xml:space="preserve"> </w:t>
      </w:r>
      <w:r w:rsidR="00285463">
        <w:rPr>
          <w:lang w:val="en-AU"/>
        </w:rPr>
        <w:t>representation</w:t>
      </w:r>
      <w:r w:rsidR="00FA39F1">
        <w:rPr>
          <w:lang w:val="en-AU"/>
        </w:rPr>
        <w:t xml:space="preserve"> is a set of temporary </w:t>
      </w:r>
      <w:r w:rsidR="00285463">
        <w:rPr>
          <w:lang w:val="en-AU"/>
        </w:rPr>
        <w:t>pairings</w:t>
      </w:r>
      <w:r w:rsidR="00FA39F1">
        <w:rPr>
          <w:lang w:val="en-AU"/>
        </w:rPr>
        <w:t xml:space="preserve"> </w:t>
      </w:r>
      <w:r w:rsidR="00285463">
        <w:rPr>
          <w:lang w:val="en-AU"/>
        </w:rPr>
        <w:t>that</w:t>
      </w:r>
      <w:r w:rsidR="00FA39F1">
        <w:rPr>
          <w:lang w:val="en-AU"/>
        </w:rPr>
        <w:t xml:space="preserve"> </w:t>
      </w:r>
      <w:r w:rsidR="00285463">
        <w:rPr>
          <w:lang w:val="en-AU"/>
        </w:rPr>
        <w:t>decay</w:t>
      </w:r>
      <w:r w:rsidR="00FA39F1">
        <w:rPr>
          <w:lang w:val="en-AU"/>
        </w:rPr>
        <w:t xml:space="preserve"> over time, then </w:t>
      </w:r>
      <w:r w:rsidR="00501EE6">
        <w:rPr>
          <w:lang w:val="en-AU"/>
        </w:rPr>
        <w:t xml:space="preserve">any difficulty that introduces substantial delays may </w:t>
      </w:r>
      <w:r w:rsidR="00762C3E">
        <w:rPr>
          <w:lang w:val="en-AU"/>
        </w:rPr>
        <w:t>result in the</w:t>
      </w:r>
      <w:r w:rsidR="00501EE6">
        <w:rPr>
          <w:lang w:val="en-AU"/>
        </w:rPr>
        <w:t xml:space="preserve"> </w:t>
      </w:r>
      <w:r w:rsidR="00762C3E">
        <w:rPr>
          <w:lang w:val="en-AU"/>
        </w:rPr>
        <w:t>premature decay</w:t>
      </w:r>
      <w:r w:rsidR="00FA39F1">
        <w:rPr>
          <w:lang w:val="en-AU"/>
        </w:rPr>
        <w:t xml:space="preserve"> </w:t>
      </w:r>
      <w:r w:rsidR="00762C3E">
        <w:rPr>
          <w:lang w:val="en-AU"/>
        </w:rPr>
        <w:t>of the message-level representation</w:t>
      </w:r>
      <w:r w:rsidR="00501EE6">
        <w:rPr>
          <w:lang w:val="en-AU"/>
        </w:rPr>
        <w:t>.</w:t>
      </w:r>
      <w:r w:rsidR="00FA39F1">
        <w:rPr>
          <w:lang w:val="en-AU"/>
        </w:rPr>
        <w:t xml:space="preserve"> </w:t>
      </w:r>
      <w:r w:rsidR="008836F4">
        <w:rPr>
          <w:lang w:val="en-AU"/>
        </w:rPr>
        <w:t xml:space="preserve">In this scenario, the </w:t>
      </w:r>
      <w:r w:rsidR="00FA39F1">
        <w:rPr>
          <w:lang w:val="en-AU"/>
        </w:rPr>
        <w:t xml:space="preserve">system responsible for </w:t>
      </w:r>
      <w:r w:rsidR="00285463">
        <w:rPr>
          <w:lang w:val="en-AU"/>
        </w:rPr>
        <w:t>generating</w:t>
      </w:r>
      <w:r w:rsidR="00FA39F1">
        <w:rPr>
          <w:lang w:val="en-AU"/>
        </w:rPr>
        <w:t xml:space="preserve"> a </w:t>
      </w:r>
      <w:r w:rsidR="008836F4">
        <w:rPr>
          <w:lang w:val="en-AU"/>
        </w:rPr>
        <w:t xml:space="preserve">message-level </w:t>
      </w:r>
      <w:r w:rsidR="00285463">
        <w:rPr>
          <w:lang w:val="en-AU"/>
        </w:rPr>
        <w:t>representation</w:t>
      </w:r>
      <w:r w:rsidR="00FA39F1">
        <w:rPr>
          <w:lang w:val="en-AU"/>
        </w:rPr>
        <w:t xml:space="preserve"> </w:t>
      </w:r>
      <w:r w:rsidR="008836F4">
        <w:rPr>
          <w:lang w:val="en-AU"/>
        </w:rPr>
        <w:t xml:space="preserve">itself is </w:t>
      </w:r>
      <w:r w:rsidR="00FA39F1">
        <w:rPr>
          <w:lang w:val="en-AU"/>
        </w:rPr>
        <w:t xml:space="preserve">itself functioning </w:t>
      </w:r>
      <w:r w:rsidR="00285463">
        <w:rPr>
          <w:lang w:val="en-AU"/>
        </w:rPr>
        <w:t>normally</w:t>
      </w:r>
      <w:r w:rsidR="003912BF">
        <w:rPr>
          <w:lang w:val="en-AU"/>
        </w:rPr>
        <w:t>, but the</w:t>
      </w:r>
      <w:r w:rsidR="008836F4">
        <w:rPr>
          <w:lang w:val="en-AU"/>
        </w:rPr>
        <w:t xml:space="preserve"> planning process becomes derailed due to downstream delays. </w:t>
      </w:r>
      <w:r w:rsidR="001F66CC">
        <w:rPr>
          <w:lang w:val="en-AU"/>
        </w:rPr>
        <w:t>We have suggested here that d</w:t>
      </w:r>
      <w:r w:rsidR="003F328C">
        <w:rPr>
          <w:lang w:val="en-AU"/>
        </w:rPr>
        <w:t>amage to central left hemisphere structures</w:t>
      </w:r>
      <w:r w:rsidR="001F66CC">
        <w:rPr>
          <w:lang w:val="en-AU"/>
        </w:rPr>
        <w:t xml:space="preserve">, including the </w:t>
      </w:r>
      <w:r w:rsidR="0085248D">
        <w:rPr>
          <w:lang w:val="en-AU"/>
        </w:rPr>
        <w:t>insula</w:t>
      </w:r>
      <w:r w:rsidR="001F66CC">
        <w:rPr>
          <w:lang w:val="en-AU"/>
        </w:rPr>
        <w:t xml:space="preserve">, may have just this effect, </w:t>
      </w:r>
      <w:r w:rsidR="00501EE6">
        <w:rPr>
          <w:lang w:val="en-AU"/>
        </w:rPr>
        <w:t>possibly</w:t>
      </w:r>
      <w:r w:rsidR="001F66CC">
        <w:rPr>
          <w:lang w:val="en-AU"/>
        </w:rPr>
        <w:t xml:space="preserve"> because it</w:t>
      </w:r>
      <w:r w:rsidR="003F328C">
        <w:rPr>
          <w:lang w:val="en-AU"/>
        </w:rPr>
        <w:t xml:space="preserve"> </w:t>
      </w:r>
      <w:r w:rsidR="00501EE6">
        <w:rPr>
          <w:lang w:val="en-AU"/>
        </w:rPr>
        <w:t>severely</w:t>
      </w:r>
      <w:r w:rsidR="001F66CC">
        <w:rPr>
          <w:lang w:val="en-AU"/>
        </w:rPr>
        <w:t xml:space="preserve"> </w:t>
      </w:r>
      <w:r w:rsidR="00501EE6">
        <w:rPr>
          <w:lang w:val="en-AU"/>
        </w:rPr>
        <w:t>compromises</w:t>
      </w:r>
      <w:r w:rsidR="001F66CC">
        <w:rPr>
          <w:lang w:val="en-AU"/>
        </w:rPr>
        <w:t xml:space="preserve"> </w:t>
      </w:r>
      <w:r w:rsidR="003F328C">
        <w:rPr>
          <w:lang w:val="en-AU"/>
        </w:rPr>
        <w:t xml:space="preserve">articulatory-motor </w:t>
      </w:r>
      <w:r w:rsidR="001F66CC">
        <w:rPr>
          <w:lang w:val="en-AU"/>
        </w:rPr>
        <w:t>programming</w:t>
      </w:r>
      <w:r w:rsidR="00142E29">
        <w:rPr>
          <w:lang w:val="en-AU"/>
        </w:rPr>
        <w:t xml:space="preserve">, </w:t>
      </w:r>
      <w:r w:rsidR="00762C3E">
        <w:rPr>
          <w:lang w:val="en-AU"/>
        </w:rPr>
        <w:t xml:space="preserve">thereby </w:t>
      </w:r>
      <w:r w:rsidR="00501EE6">
        <w:rPr>
          <w:lang w:val="en-AU"/>
        </w:rPr>
        <w:t>introducing</w:t>
      </w:r>
      <w:r w:rsidR="003F328C">
        <w:rPr>
          <w:lang w:val="en-AU"/>
        </w:rPr>
        <w:t xml:space="preserve"> significant delays</w:t>
      </w:r>
      <w:r w:rsidR="00B94DFA">
        <w:rPr>
          <w:lang w:val="en-AU"/>
        </w:rPr>
        <w:t xml:space="preserve"> into the </w:t>
      </w:r>
      <w:r w:rsidR="00501EE6">
        <w:rPr>
          <w:lang w:val="en-AU"/>
        </w:rPr>
        <w:t>sentence</w:t>
      </w:r>
      <w:r w:rsidR="00B94DFA">
        <w:rPr>
          <w:lang w:val="en-AU"/>
        </w:rPr>
        <w:t xml:space="preserve"> </w:t>
      </w:r>
      <w:r w:rsidR="00501EE6">
        <w:rPr>
          <w:lang w:val="en-AU"/>
        </w:rPr>
        <w:t>planning</w:t>
      </w:r>
      <w:r w:rsidR="00B94DFA">
        <w:rPr>
          <w:lang w:val="en-AU"/>
        </w:rPr>
        <w:t xml:space="preserve"> process</w:t>
      </w:r>
      <w:r w:rsidR="003F328C">
        <w:rPr>
          <w:lang w:val="en-AU"/>
        </w:rPr>
        <w:t xml:space="preserve">. </w:t>
      </w:r>
      <w:r w:rsidR="00142E29">
        <w:rPr>
          <w:lang w:val="en-AU"/>
        </w:rPr>
        <w:t>W</w:t>
      </w:r>
      <w:r w:rsidR="00561469">
        <w:rPr>
          <w:lang w:val="en-AU"/>
        </w:rPr>
        <w:t>e</w:t>
      </w:r>
      <w:r w:rsidR="00142E29">
        <w:rPr>
          <w:lang w:val="en-AU"/>
        </w:rPr>
        <w:t xml:space="preserve"> </w:t>
      </w:r>
      <w:r w:rsidR="003912BF">
        <w:rPr>
          <w:lang w:val="en-AU"/>
        </w:rPr>
        <w:t>further</w:t>
      </w:r>
      <w:r w:rsidR="00142E29">
        <w:rPr>
          <w:lang w:val="en-AU"/>
        </w:rPr>
        <w:t xml:space="preserve"> suggested that</w:t>
      </w:r>
      <w:r w:rsidR="002715E8">
        <w:rPr>
          <w:lang w:val="en-AU"/>
        </w:rPr>
        <w:t xml:space="preserve"> </w:t>
      </w:r>
      <w:r w:rsidR="001B3926">
        <w:rPr>
          <w:lang w:val="en-AU"/>
        </w:rPr>
        <w:t xml:space="preserve">speakers </w:t>
      </w:r>
      <w:r w:rsidR="00142E29">
        <w:rPr>
          <w:lang w:val="en-AU"/>
        </w:rPr>
        <w:t xml:space="preserve">may </w:t>
      </w:r>
      <w:r w:rsidR="00B94DFA">
        <w:rPr>
          <w:lang w:val="en-AU"/>
        </w:rPr>
        <w:t xml:space="preserve">attempt to </w:t>
      </w:r>
      <w:r w:rsidR="002715E8">
        <w:rPr>
          <w:lang w:val="en-AU"/>
        </w:rPr>
        <w:t>minimis</w:t>
      </w:r>
      <w:r w:rsidR="001B3926">
        <w:rPr>
          <w:lang w:val="en-AU"/>
        </w:rPr>
        <w:t>e</w:t>
      </w:r>
      <w:r w:rsidR="002715E8">
        <w:rPr>
          <w:lang w:val="en-AU"/>
        </w:rPr>
        <w:t xml:space="preserve"> the impact of </w:t>
      </w:r>
      <w:r w:rsidR="00142E29">
        <w:rPr>
          <w:lang w:val="en-AU"/>
        </w:rPr>
        <w:t>such</w:t>
      </w:r>
      <w:r w:rsidR="003F328C">
        <w:rPr>
          <w:lang w:val="en-AU"/>
        </w:rPr>
        <w:t xml:space="preserve"> delays</w:t>
      </w:r>
      <w:r w:rsidR="002715E8">
        <w:rPr>
          <w:lang w:val="en-AU"/>
        </w:rPr>
        <w:t xml:space="preserve"> </w:t>
      </w:r>
      <w:r w:rsidR="00142E29">
        <w:rPr>
          <w:lang w:val="en-AU"/>
        </w:rPr>
        <w:t>by omitting</w:t>
      </w:r>
      <w:r w:rsidR="001B3926">
        <w:rPr>
          <w:lang w:val="en-AU"/>
        </w:rPr>
        <w:t xml:space="preserve"> </w:t>
      </w:r>
      <w:r w:rsidR="003F328C">
        <w:rPr>
          <w:lang w:val="en-AU"/>
        </w:rPr>
        <w:t>grammatical</w:t>
      </w:r>
      <w:r w:rsidR="001B3926">
        <w:rPr>
          <w:lang w:val="en-AU"/>
        </w:rPr>
        <w:t xml:space="preserve"> function words. </w:t>
      </w:r>
      <w:r w:rsidR="0085248D">
        <w:rPr>
          <w:lang w:val="en-AU"/>
        </w:rPr>
        <w:t xml:space="preserve">But this in itself might </w:t>
      </w:r>
      <w:r w:rsidR="00501EE6">
        <w:rPr>
          <w:lang w:val="en-AU"/>
        </w:rPr>
        <w:t>not</w:t>
      </w:r>
      <w:r w:rsidR="0085248D">
        <w:rPr>
          <w:lang w:val="en-AU"/>
        </w:rPr>
        <w:t xml:space="preserve"> always be </w:t>
      </w:r>
      <w:r w:rsidR="00501EE6">
        <w:rPr>
          <w:lang w:val="en-AU"/>
        </w:rPr>
        <w:t>sufficient</w:t>
      </w:r>
      <w:r w:rsidR="0085248D">
        <w:rPr>
          <w:lang w:val="en-AU"/>
        </w:rPr>
        <w:t xml:space="preserve"> to </w:t>
      </w:r>
      <w:r w:rsidR="00501EE6">
        <w:rPr>
          <w:lang w:val="en-AU"/>
        </w:rPr>
        <w:t>manage</w:t>
      </w:r>
      <w:r w:rsidR="0085248D">
        <w:rPr>
          <w:lang w:val="en-AU"/>
        </w:rPr>
        <w:t xml:space="preserve"> the problem. </w:t>
      </w:r>
      <w:r w:rsidR="003912BF">
        <w:rPr>
          <w:lang w:val="en-AU"/>
        </w:rPr>
        <w:t xml:space="preserve">Indeed, the two patterns considered above – poorer accuracy on sentences beginning with a low subject noun, and poorer accuracy on sentences containing semantically related nouns </w:t>
      </w:r>
      <w:r w:rsidR="00597512">
        <w:rPr>
          <w:lang w:val="en-AU"/>
        </w:rPr>
        <w:t>–</w:t>
      </w:r>
      <w:r w:rsidR="003912BF">
        <w:rPr>
          <w:lang w:val="en-AU"/>
        </w:rPr>
        <w:t xml:space="preserve"> </w:t>
      </w:r>
      <w:r w:rsidR="00597512">
        <w:rPr>
          <w:lang w:val="en-AU"/>
        </w:rPr>
        <w:t xml:space="preserve">were observed not only in individuals with damage to anterior language structures, but also following damage to the insula/central operculum. In other words, these patterns </w:t>
      </w:r>
      <w:r w:rsidR="00FA39F1">
        <w:rPr>
          <w:lang w:val="en-AU"/>
        </w:rPr>
        <w:t>may be</w:t>
      </w:r>
      <w:r w:rsidR="00597512">
        <w:rPr>
          <w:lang w:val="en-AU"/>
        </w:rPr>
        <w:t xml:space="preserve"> a common endpoint of two very different kinds of impairments</w:t>
      </w:r>
      <w:r w:rsidR="003F328C">
        <w:rPr>
          <w:lang w:val="en-AU"/>
        </w:rPr>
        <w:t xml:space="preserve">. </w:t>
      </w:r>
    </w:p>
    <w:p w14:paraId="27718398" w14:textId="2B77A4B3" w:rsidR="00A157B3" w:rsidRDefault="00D6697D" w:rsidP="00293873">
      <w:pPr>
        <w:spacing w:line="480" w:lineRule="auto"/>
        <w:ind w:firstLine="720"/>
        <w:rPr>
          <w:lang w:val="en-AU"/>
        </w:rPr>
      </w:pPr>
      <w:r>
        <w:rPr>
          <w:lang w:val="en-AU"/>
        </w:rPr>
        <w:t xml:space="preserve">Finally, and perhaps most </w:t>
      </w:r>
      <w:r w:rsidR="00506208">
        <w:rPr>
          <w:lang w:val="en-AU"/>
        </w:rPr>
        <w:t>importantly</w:t>
      </w:r>
      <w:r>
        <w:rPr>
          <w:lang w:val="en-AU"/>
        </w:rPr>
        <w:t>, the proposed</w:t>
      </w:r>
      <w:r w:rsidR="00597512">
        <w:rPr>
          <w:lang w:val="en-AU"/>
        </w:rPr>
        <w:t xml:space="preserve"> two-factor </w:t>
      </w:r>
      <w:r>
        <w:rPr>
          <w:lang w:val="en-AU"/>
        </w:rPr>
        <w:t>account</w:t>
      </w:r>
      <w:r w:rsidR="00597512">
        <w:rPr>
          <w:lang w:val="en-AU"/>
        </w:rPr>
        <w:t xml:space="preserve"> we </w:t>
      </w:r>
      <w:r w:rsidR="00126FA0">
        <w:rPr>
          <w:lang w:val="en-AU"/>
        </w:rPr>
        <w:t xml:space="preserve">have </w:t>
      </w:r>
      <w:r w:rsidR="00597512">
        <w:rPr>
          <w:lang w:val="en-AU"/>
        </w:rPr>
        <w:t xml:space="preserve">set out </w:t>
      </w:r>
      <w:r>
        <w:rPr>
          <w:lang w:val="en-AU"/>
        </w:rPr>
        <w:t>above</w:t>
      </w:r>
      <w:r w:rsidR="00597512">
        <w:rPr>
          <w:lang w:val="en-AU"/>
        </w:rPr>
        <w:t xml:space="preserve"> offers a framework for understanding </w:t>
      </w:r>
      <w:r w:rsidR="00625183">
        <w:rPr>
          <w:lang w:val="en-AU"/>
        </w:rPr>
        <w:t>variability</w:t>
      </w:r>
      <w:r w:rsidR="00597512">
        <w:rPr>
          <w:lang w:val="en-AU"/>
        </w:rPr>
        <w:t xml:space="preserve"> in the </w:t>
      </w:r>
      <w:r w:rsidR="00126FA0">
        <w:rPr>
          <w:lang w:val="en-AU"/>
        </w:rPr>
        <w:t>speech</w:t>
      </w:r>
      <w:r w:rsidR="00597512">
        <w:rPr>
          <w:lang w:val="en-AU"/>
        </w:rPr>
        <w:t xml:space="preserve"> </w:t>
      </w:r>
      <w:r w:rsidR="00625183">
        <w:rPr>
          <w:lang w:val="en-AU"/>
        </w:rPr>
        <w:t>profiles</w:t>
      </w:r>
      <w:r w:rsidR="00597512">
        <w:rPr>
          <w:lang w:val="en-AU"/>
        </w:rPr>
        <w:t xml:space="preserve"> of </w:t>
      </w:r>
      <w:r w:rsidR="00FA39F1">
        <w:rPr>
          <w:lang w:val="en-AU"/>
        </w:rPr>
        <w:t xml:space="preserve">different </w:t>
      </w:r>
      <w:r w:rsidR="00625183">
        <w:rPr>
          <w:lang w:val="en-AU"/>
        </w:rPr>
        <w:t>individuals</w:t>
      </w:r>
      <w:r w:rsidR="00597512">
        <w:rPr>
          <w:lang w:val="en-AU"/>
        </w:rPr>
        <w:t xml:space="preserve"> with nonfluent aphasia.</w:t>
      </w:r>
      <w:r w:rsidR="00A157B3">
        <w:rPr>
          <w:lang w:val="en-AU"/>
        </w:rPr>
        <w:t xml:space="preserve"> </w:t>
      </w:r>
      <w:r>
        <w:rPr>
          <w:lang w:val="en-AU"/>
        </w:rPr>
        <w:t>The classic “dynamic aphasia” profile, of relatively well-formed speech but difficulties selecting appropriate language units in an unconstrained setting, would reflect a difficulty at the conceptual/propositional level. In contrast, the</w:t>
      </w:r>
      <w:r w:rsidR="00A157B3">
        <w:rPr>
          <w:lang w:val="en-AU"/>
        </w:rPr>
        <w:t xml:space="preserve"> nonfluent/agrammatic profile</w:t>
      </w:r>
      <w:r>
        <w:rPr>
          <w:lang w:val="en-AU"/>
        </w:rPr>
        <w:t>,</w:t>
      </w:r>
      <w:r w:rsidR="00A157B3">
        <w:rPr>
          <w:lang w:val="en-AU"/>
        </w:rPr>
        <w:t xml:space="preserve"> consisting of slowed speech in the context of articulatory abnormalities, in the absence of context-specific noun production problems, would be attributed to our proposed timing difficulty. A third group of individuals are likely to have a combination of these two problems, and given the </w:t>
      </w:r>
      <w:r w:rsidR="00A157B3">
        <w:rPr>
          <w:lang w:val="en-AU"/>
        </w:rPr>
        <w:lastRenderedPageBreak/>
        <w:t xml:space="preserve">proximity of their neural substrates, </w:t>
      </w:r>
      <w:r w:rsidR="00FA39F1">
        <w:rPr>
          <w:lang w:val="en-AU"/>
        </w:rPr>
        <w:t xml:space="preserve">this </w:t>
      </w:r>
      <w:r w:rsidR="00285463">
        <w:rPr>
          <w:lang w:val="en-AU"/>
        </w:rPr>
        <w:t>combination</w:t>
      </w:r>
      <w:r w:rsidR="000E5A82">
        <w:rPr>
          <w:lang w:val="en-AU"/>
        </w:rPr>
        <w:t xml:space="preserve"> might be quite</w:t>
      </w:r>
      <w:r w:rsidR="00A157B3">
        <w:rPr>
          <w:lang w:val="en-AU"/>
        </w:rPr>
        <w:t xml:space="preserve"> common</w:t>
      </w:r>
      <w:r w:rsidR="000E5A82">
        <w:rPr>
          <w:lang w:val="en-AU"/>
        </w:rPr>
        <w:t xml:space="preserve"> </w:t>
      </w:r>
      <w:r w:rsidR="00A157B3">
        <w:rPr>
          <w:lang w:val="en-AU"/>
        </w:rPr>
        <w:t xml:space="preserve">(for a similar proposal, see Robinson et al., 2005, 2010, 2012).  </w:t>
      </w:r>
    </w:p>
    <w:p w14:paraId="63CBC0EE" w14:textId="6BBF29DE" w:rsidR="00293873" w:rsidRPr="00293873" w:rsidRDefault="002C7746" w:rsidP="00293873">
      <w:pPr>
        <w:spacing w:line="480" w:lineRule="auto"/>
        <w:ind w:firstLine="720"/>
        <w:rPr>
          <w:bCs/>
          <w:lang w:val="en-GB"/>
        </w:rPr>
      </w:pPr>
      <w:r>
        <w:rPr>
          <w:b/>
          <w:lang w:val="en-GB"/>
        </w:rPr>
        <w:t xml:space="preserve">4.3. </w:t>
      </w:r>
      <w:r w:rsidR="00512782" w:rsidRPr="00AD5E2A">
        <w:rPr>
          <w:b/>
          <w:lang w:val="en-GB"/>
        </w:rPr>
        <w:t xml:space="preserve">Limitations and </w:t>
      </w:r>
      <w:r w:rsidR="00E97B02">
        <w:rPr>
          <w:b/>
          <w:lang w:val="en-GB"/>
        </w:rPr>
        <w:t>conclusions</w:t>
      </w:r>
      <w:r w:rsidR="00512782">
        <w:rPr>
          <w:bCs/>
          <w:lang w:val="en-GB"/>
        </w:rPr>
        <w:t xml:space="preserve">. </w:t>
      </w:r>
      <w:r w:rsidR="00512782">
        <w:rPr>
          <w:lang w:val="en-AU"/>
        </w:rPr>
        <w:t xml:space="preserve">There are a number of </w:t>
      </w:r>
      <w:r w:rsidR="00BF5A61">
        <w:rPr>
          <w:lang w:val="en-AU"/>
        </w:rPr>
        <w:t>things</w:t>
      </w:r>
      <w:r w:rsidR="00512782">
        <w:rPr>
          <w:lang w:val="en-AU"/>
        </w:rPr>
        <w:t xml:space="preserve"> </w:t>
      </w:r>
      <w:r w:rsidR="005560BF">
        <w:rPr>
          <w:lang w:val="en-AU"/>
        </w:rPr>
        <w:t xml:space="preserve">to </w:t>
      </w:r>
      <w:r w:rsidR="00BF5A61">
        <w:rPr>
          <w:lang w:val="en-AU"/>
        </w:rPr>
        <w:t>bear</w:t>
      </w:r>
      <w:r w:rsidR="00512782">
        <w:rPr>
          <w:lang w:val="en-AU"/>
        </w:rPr>
        <w:t xml:space="preserve"> in mind when </w:t>
      </w:r>
      <w:r w:rsidR="00BF5A61">
        <w:rPr>
          <w:lang w:val="en-AU"/>
        </w:rPr>
        <w:t>evaluating</w:t>
      </w:r>
      <w:r w:rsidR="00512782">
        <w:rPr>
          <w:lang w:val="en-AU"/>
        </w:rPr>
        <w:t xml:space="preserve"> the</w:t>
      </w:r>
      <w:r w:rsidR="00C6514A">
        <w:rPr>
          <w:lang w:val="en-AU"/>
        </w:rPr>
        <w:t>se</w:t>
      </w:r>
      <w:r w:rsidR="00512782">
        <w:rPr>
          <w:lang w:val="en-AU"/>
        </w:rPr>
        <w:t xml:space="preserve"> finding</w:t>
      </w:r>
      <w:r w:rsidR="00D6697D">
        <w:rPr>
          <w:lang w:val="en-AU"/>
        </w:rPr>
        <w:t>s</w:t>
      </w:r>
      <w:r w:rsidR="00512782">
        <w:rPr>
          <w:lang w:val="en-AU"/>
        </w:rPr>
        <w:t xml:space="preserve">. The first is </w:t>
      </w:r>
      <w:r w:rsidR="00C6514A">
        <w:rPr>
          <w:lang w:val="en-AU"/>
        </w:rPr>
        <w:t>the small sample size</w:t>
      </w:r>
      <w:r w:rsidR="00762C3E">
        <w:rPr>
          <w:lang w:val="en-AU"/>
        </w:rPr>
        <w:t>, which</w:t>
      </w:r>
      <w:r w:rsidR="00B62353">
        <w:rPr>
          <w:lang w:val="en-AU"/>
        </w:rPr>
        <w:t xml:space="preserve"> </w:t>
      </w:r>
      <w:r w:rsidR="00C6514A">
        <w:rPr>
          <w:lang w:val="en-AU"/>
        </w:rPr>
        <w:t>limits the</w:t>
      </w:r>
      <w:r w:rsidR="00B62353">
        <w:rPr>
          <w:lang w:val="en-AU"/>
        </w:rPr>
        <w:t xml:space="preserve"> conclusions </w:t>
      </w:r>
      <w:r w:rsidR="00C6514A">
        <w:rPr>
          <w:lang w:val="en-AU"/>
        </w:rPr>
        <w:t>we can draw</w:t>
      </w:r>
      <w:r w:rsidR="00D6697D">
        <w:rPr>
          <w:lang w:val="en-AU"/>
        </w:rPr>
        <w:t xml:space="preserve"> from the VLSM </w:t>
      </w:r>
      <w:r w:rsidR="00506208">
        <w:rPr>
          <w:lang w:val="en-AU"/>
        </w:rPr>
        <w:t>analyses</w:t>
      </w:r>
      <w:r w:rsidR="006134DA">
        <w:rPr>
          <w:lang w:val="en-AU"/>
        </w:rPr>
        <w:t xml:space="preserve"> in particular</w:t>
      </w:r>
      <w:r w:rsidR="00D6697D">
        <w:rPr>
          <w:lang w:val="en-AU"/>
        </w:rPr>
        <w:t xml:space="preserve">. </w:t>
      </w:r>
      <w:r w:rsidR="006134DA">
        <w:rPr>
          <w:lang w:val="en-AU"/>
        </w:rPr>
        <w:t>T</w:t>
      </w:r>
      <w:r w:rsidR="00C6514A">
        <w:rPr>
          <w:lang w:val="en-AU"/>
        </w:rPr>
        <w:t>here was</w:t>
      </w:r>
      <w:r w:rsidR="00512782">
        <w:rPr>
          <w:lang w:val="en-AU"/>
        </w:rPr>
        <w:t xml:space="preserve"> </w:t>
      </w:r>
      <w:r w:rsidR="006134DA">
        <w:rPr>
          <w:lang w:val="en-AU"/>
        </w:rPr>
        <w:t xml:space="preserve">likely to be </w:t>
      </w:r>
      <w:r w:rsidR="00506208">
        <w:rPr>
          <w:lang w:val="en-AU"/>
        </w:rPr>
        <w:t>insufficient</w:t>
      </w:r>
      <w:r w:rsidR="00512782">
        <w:rPr>
          <w:lang w:val="en-AU"/>
        </w:rPr>
        <w:t xml:space="preserve"> power to detect effects in </w:t>
      </w:r>
      <w:r w:rsidR="00C6514A">
        <w:rPr>
          <w:lang w:val="en-AU"/>
        </w:rPr>
        <w:t>some</w:t>
      </w:r>
      <w:r w:rsidR="008030B7">
        <w:rPr>
          <w:lang w:val="en-AU"/>
        </w:rPr>
        <w:t xml:space="preserve"> </w:t>
      </w:r>
      <w:r w:rsidR="00512782">
        <w:rPr>
          <w:lang w:val="en-AU"/>
        </w:rPr>
        <w:t>regions</w:t>
      </w:r>
      <w:r w:rsidR="00C6514A">
        <w:rPr>
          <w:lang w:val="en-AU"/>
        </w:rPr>
        <w:t>, and no coverage at all of others</w:t>
      </w:r>
      <w:r w:rsidR="00512782">
        <w:rPr>
          <w:lang w:val="en-AU"/>
        </w:rPr>
        <w:t xml:space="preserve">. </w:t>
      </w:r>
      <w:r w:rsidR="00C6514A">
        <w:rPr>
          <w:lang w:val="en-AU"/>
        </w:rPr>
        <w:t xml:space="preserve">Also, </w:t>
      </w:r>
      <w:r w:rsidR="00D6697D">
        <w:rPr>
          <w:lang w:val="en-AU"/>
        </w:rPr>
        <w:t>the various differences we observed in the VLSM</w:t>
      </w:r>
      <w:r w:rsidR="00C6514A">
        <w:rPr>
          <w:lang w:val="en-AU"/>
        </w:rPr>
        <w:t xml:space="preserve"> </w:t>
      </w:r>
      <w:r w:rsidR="00297116">
        <w:rPr>
          <w:lang w:val="en-AU"/>
        </w:rPr>
        <w:t xml:space="preserve">maps </w:t>
      </w:r>
      <w:r w:rsidR="00D6697D">
        <w:rPr>
          <w:lang w:val="en-AU"/>
        </w:rPr>
        <w:t xml:space="preserve">for different </w:t>
      </w:r>
      <w:r w:rsidR="00506208">
        <w:rPr>
          <w:lang w:val="en-AU"/>
        </w:rPr>
        <w:t>measures</w:t>
      </w:r>
      <w:r w:rsidR="00D6697D">
        <w:rPr>
          <w:lang w:val="en-AU"/>
        </w:rPr>
        <w:t xml:space="preserve"> </w:t>
      </w:r>
      <w:r w:rsidR="006134DA">
        <w:rPr>
          <w:lang w:val="en-AU"/>
        </w:rPr>
        <w:t>could have been</w:t>
      </w:r>
      <w:r w:rsidR="00297116">
        <w:rPr>
          <w:lang w:val="en-AU"/>
        </w:rPr>
        <w:t xml:space="preserve"> driven by just one or two individuals; we clearly need to see whether these findings bear out </w:t>
      </w:r>
      <w:r w:rsidR="00147515">
        <w:rPr>
          <w:lang w:val="en-AU"/>
        </w:rPr>
        <w:t>in</w:t>
      </w:r>
      <w:r w:rsidR="00297116">
        <w:rPr>
          <w:lang w:val="en-AU"/>
        </w:rPr>
        <w:t xml:space="preserve"> a large</w:t>
      </w:r>
      <w:r w:rsidR="00147515">
        <w:rPr>
          <w:lang w:val="en-AU"/>
        </w:rPr>
        <w:t>r</w:t>
      </w:r>
      <w:r w:rsidR="00297116">
        <w:rPr>
          <w:lang w:val="en-AU"/>
        </w:rPr>
        <w:t xml:space="preserve"> participant group. </w:t>
      </w:r>
      <w:r w:rsidR="00B62353">
        <w:rPr>
          <w:lang w:val="en-AU"/>
        </w:rPr>
        <w:t>There were several other</w:t>
      </w:r>
      <w:r w:rsidR="006B6CFD">
        <w:rPr>
          <w:lang w:val="en-AU"/>
        </w:rPr>
        <w:t xml:space="preserve"> limitation</w:t>
      </w:r>
      <w:r w:rsidR="00B62353">
        <w:rPr>
          <w:lang w:val="en-AU"/>
        </w:rPr>
        <w:t>s to the VLSM analysis</w:t>
      </w:r>
      <w:r w:rsidR="00C6514A">
        <w:rPr>
          <w:lang w:val="en-AU"/>
        </w:rPr>
        <w:t xml:space="preserve"> worth mentioning</w:t>
      </w:r>
      <w:r w:rsidR="00B62353">
        <w:rPr>
          <w:lang w:val="en-AU"/>
        </w:rPr>
        <w:t>.</w:t>
      </w:r>
      <w:r w:rsidR="00F84438">
        <w:rPr>
          <w:lang w:val="en-AU"/>
        </w:rPr>
        <w:t xml:space="preserve"> </w:t>
      </w:r>
      <w:r w:rsidR="00B62353">
        <w:rPr>
          <w:lang w:val="en-AU"/>
        </w:rPr>
        <w:t>D</w:t>
      </w:r>
      <w:r w:rsidR="00F84438">
        <w:rPr>
          <w:lang w:val="en-AU"/>
        </w:rPr>
        <w:t xml:space="preserve">ue to the large dimensions </w:t>
      </w:r>
      <w:r w:rsidR="00741269">
        <w:rPr>
          <w:lang w:val="en-AU"/>
        </w:rPr>
        <w:t xml:space="preserve">of the lesion maps </w:t>
      </w:r>
      <w:r w:rsidR="00F84438">
        <w:rPr>
          <w:lang w:val="en-AU"/>
        </w:rPr>
        <w:t xml:space="preserve">and </w:t>
      </w:r>
      <w:r w:rsidR="008D70AB">
        <w:rPr>
          <w:lang w:val="en-AU"/>
        </w:rPr>
        <w:t xml:space="preserve">their </w:t>
      </w:r>
      <w:r w:rsidR="00F84438">
        <w:rPr>
          <w:lang w:val="en-AU"/>
        </w:rPr>
        <w:t>heavily overlapping distribution</w:t>
      </w:r>
      <w:r w:rsidR="00741269">
        <w:rPr>
          <w:lang w:val="en-AU"/>
        </w:rPr>
        <w:t>s</w:t>
      </w:r>
      <w:r w:rsidR="00F84438">
        <w:rPr>
          <w:lang w:val="en-AU"/>
        </w:rPr>
        <w:t xml:space="preserve">, </w:t>
      </w:r>
      <w:r w:rsidR="00512782">
        <w:rPr>
          <w:lang w:val="en-AU"/>
        </w:rPr>
        <w:t xml:space="preserve">there was saturation in some regions (for example, </w:t>
      </w:r>
      <w:r w:rsidR="004E354A">
        <w:rPr>
          <w:lang w:val="en-AU"/>
        </w:rPr>
        <w:t>five</w:t>
      </w:r>
      <w:r w:rsidR="004E354A" w:rsidRPr="004E354A">
        <w:rPr>
          <w:lang w:val="en-AU"/>
        </w:rPr>
        <w:t xml:space="preserve"> out of </w:t>
      </w:r>
      <w:r w:rsidR="004E354A">
        <w:rPr>
          <w:lang w:val="en-AU"/>
        </w:rPr>
        <w:t>the eight cases</w:t>
      </w:r>
      <w:r w:rsidR="004E354A" w:rsidRPr="004E354A">
        <w:rPr>
          <w:lang w:val="en-AU"/>
        </w:rPr>
        <w:t xml:space="preserve"> had more than 10% damage to </w:t>
      </w:r>
      <w:r w:rsidR="004E354A">
        <w:rPr>
          <w:lang w:val="en-AU"/>
        </w:rPr>
        <w:t xml:space="preserve">the </w:t>
      </w:r>
      <w:r w:rsidR="004E354A" w:rsidRPr="004E354A">
        <w:rPr>
          <w:lang w:val="en-AU"/>
        </w:rPr>
        <w:t>insula</w:t>
      </w:r>
      <w:r w:rsidR="004E354A">
        <w:rPr>
          <w:lang w:val="en-AU"/>
        </w:rPr>
        <w:t xml:space="preserve">, and </w:t>
      </w:r>
      <w:r w:rsidR="00F84438">
        <w:rPr>
          <w:lang w:val="en-AU"/>
        </w:rPr>
        <w:t xml:space="preserve">that was </w:t>
      </w:r>
      <w:r w:rsidR="008D70AB">
        <w:rPr>
          <w:lang w:val="en-AU"/>
        </w:rPr>
        <w:t>true for</w:t>
      </w:r>
      <w:r w:rsidR="00F84438">
        <w:rPr>
          <w:lang w:val="en-AU"/>
        </w:rPr>
        <w:t xml:space="preserve"> the central operculum in </w:t>
      </w:r>
      <w:r w:rsidR="004E354A">
        <w:rPr>
          <w:lang w:val="en-AU"/>
        </w:rPr>
        <w:t xml:space="preserve">six </w:t>
      </w:r>
      <w:r w:rsidR="00F84438">
        <w:rPr>
          <w:lang w:val="en-AU"/>
        </w:rPr>
        <w:t>of the eight</w:t>
      </w:r>
      <w:r w:rsidR="004E354A">
        <w:rPr>
          <w:lang w:val="en-AU"/>
        </w:rPr>
        <w:t xml:space="preserve"> </w:t>
      </w:r>
      <w:r w:rsidR="00F84438">
        <w:rPr>
          <w:lang w:val="en-AU"/>
        </w:rPr>
        <w:t>cases</w:t>
      </w:r>
      <w:r w:rsidR="004E354A">
        <w:rPr>
          <w:lang w:val="en-AU"/>
        </w:rPr>
        <w:t>)</w:t>
      </w:r>
      <w:r w:rsidR="00D6697D">
        <w:rPr>
          <w:lang w:val="en-AU"/>
        </w:rPr>
        <w:t xml:space="preserve">. Also, </w:t>
      </w:r>
      <w:r w:rsidR="00741269">
        <w:rPr>
          <w:lang w:val="en-AU"/>
        </w:rPr>
        <w:t xml:space="preserve">there was </w:t>
      </w:r>
      <w:r w:rsidR="00F84438">
        <w:rPr>
          <w:lang w:val="en-AU"/>
        </w:rPr>
        <w:t>a</w:t>
      </w:r>
      <w:r w:rsidR="00074BEE">
        <w:rPr>
          <w:lang w:val="en-AU"/>
        </w:rPr>
        <w:t xml:space="preserve"> lack of </w:t>
      </w:r>
      <w:r w:rsidR="00074BEE" w:rsidRPr="00D6697D">
        <w:rPr>
          <w:i/>
          <w:iCs/>
          <w:lang w:val="en-AU"/>
        </w:rPr>
        <w:t>independen</w:t>
      </w:r>
      <w:r w:rsidR="005E57EF" w:rsidRPr="00D6697D">
        <w:rPr>
          <w:i/>
          <w:iCs/>
          <w:lang w:val="en-AU"/>
        </w:rPr>
        <w:t>t</w:t>
      </w:r>
      <w:r w:rsidR="00293873">
        <w:rPr>
          <w:lang w:val="en-AU"/>
        </w:rPr>
        <w:t xml:space="preserve"> coverage of</w:t>
      </w:r>
      <w:r w:rsidR="00C6514A">
        <w:rPr>
          <w:lang w:val="en-AU"/>
        </w:rPr>
        <w:t xml:space="preserve"> </w:t>
      </w:r>
      <w:r w:rsidR="00D6697D">
        <w:rPr>
          <w:lang w:val="en-AU"/>
        </w:rPr>
        <w:t>some regions</w:t>
      </w:r>
      <w:r w:rsidR="008030B7">
        <w:rPr>
          <w:lang w:val="en-AU"/>
        </w:rPr>
        <w:t>. F</w:t>
      </w:r>
      <w:r w:rsidR="00074BEE">
        <w:rPr>
          <w:lang w:val="en-AU"/>
        </w:rPr>
        <w:t xml:space="preserve">or example, </w:t>
      </w:r>
      <w:r w:rsidR="001B6E68">
        <w:rPr>
          <w:lang w:val="en-AU"/>
        </w:rPr>
        <w:t xml:space="preserve">the degree of damage </w:t>
      </w:r>
      <w:r w:rsidR="00293873">
        <w:rPr>
          <w:lang w:val="en-AU"/>
        </w:rPr>
        <w:t xml:space="preserve">to the </w:t>
      </w:r>
      <w:r w:rsidR="00293873" w:rsidRPr="00293873">
        <w:rPr>
          <w:lang w:val="en-AU"/>
        </w:rPr>
        <w:t>cent</w:t>
      </w:r>
      <w:r w:rsidR="008030B7">
        <w:rPr>
          <w:lang w:val="en-AU"/>
        </w:rPr>
        <w:t>r</w:t>
      </w:r>
      <w:r w:rsidR="00293873" w:rsidRPr="00293873">
        <w:rPr>
          <w:lang w:val="en-AU"/>
        </w:rPr>
        <w:t xml:space="preserve">al operculum </w:t>
      </w:r>
      <w:r w:rsidR="00C6514A">
        <w:rPr>
          <w:lang w:val="en-AU"/>
        </w:rPr>
        <w:t>was correlated with that of</w:t>
      </w:r>
      <w:r w:rsidR="00293873">
        <w:rPr>
          <w:lang w:val="en-AU"/>
        </w:rPr>
        <w:t xml:space="preserve"> </w:t>
      </w:r>
      <w:r w:rsidR="00293873" w:rsidRPr="00293873">
        <w:rPr>
          <w:lang w:val="en-AU"/>
        </w:rPr>
        <w:t>the insula</w:t>
      </w:r>
      <w:r w:rsidR="001B6E68">
        <w:rPr>
          <w:lang w:val="en-AU"/>
        </w:rPr>
        <w:t>, and</w:t>
      </w:r>
      <w:r w:rsidR="008030B7">
        <w:rPr>
          <w:lang w:val="en-AU"/>
        </w:rPr>
        <w:t xml:space="preserve"> </w:t>
      </w:r>
      <w:r w:rsidR="00BF5A61">
        <w:rPr>
          <w:lang w:val="en-AU"/>
        </w:rPr>
        <w:t xml:space="preserve">similar </w:t>
      </w:r>
      <w:r w:rsidR="00293873">
        <w:rPr>
          <w:lang w:val="en-AU"/>
        </w:rPr>
        <w:t xml:space="preserve">high </w:t>
      </w:r>
      <w:r w:rsidR="00BF5A61">
        <w:rPr>
          <w:lang w:val="en-AU"/>
        </w:rPr>
        <w:t>correlations</w:t>
      </w:r>
      <w:r w:rsidR="00293873">
        <w:rPr>
          <w:lang w:val="en-AU"/>
        </w:rPr>
        <w:t xml:space="preserve"> </w:t>
      </w:r>
      <w:r w:rsidR="00C6514A">
        <w:rPr>
          <w:lang w:val="en-AU"/>
        </w:rPr>
        <w:t xml:space="preserve">were observed </w:t>
      </w:r>
      <w:r w:rsidR="00293873">
        <w:rPr>
          <w:lang w:val="en-AU"/>
        </w:rPr>
        <w:t>between</w:t>
      </w:r>
      <w:r w:rsidR="00293873" w:rsidRPr="00293873">
        <w:rPr>
          <w:lang w:val="en-AU"/>
        </w:rPr>
        <w:t xml:space="preserve"> the middle frontal gyrus and </w:t>
      </w:r>
      <w:r w:rsidR="008030B7">
        <w:rPr>
          <w:lang w:val="en-AU"/>
        </w:rPr>
        <w:t xml:space="preserve">the </w:t>
      </w:r>
      <w:r w:rsidR="00293873">
        <w:rPr>
          <w:lang w:val="en-AU"/>
        </w:rPr>
        <w:t xml:space="preserve">of </w:t>
      </w:r>
      <w:r w:rsidR="00293873" w:rsidRPr="00293873">
        <w:rPr>
          <w:lang w:val="en-AU"/>
        </w:rPr>
        <w:t>the LIFG</w:t>
      </w:r>
      <w:r w:rsidR="001B6E68">
        <w:rPr>
          <w:lang w:val="en-AU"/>
        </w:rPr>
        <w:t xml:space="preserve"> (</w:t>
      </w:r>
      <w:r w:rsidR="001B6E68" w:rsidRPr="00293873">
        <w:rPr>
          <w:lang w:val="en-AU"/>
        </w:rPr>
        <w:t>pars opercularis</w:t>
      </w:r>
      <w:r w:rsidR="001B6E68">
        <w:rPr>
          <w:lang w:val="en-AU"/>
        </w:rPr>
        <w:t>)</w:t>
      </w:r>
      <w:r w:rsidR="00293873" w:rsidRPr="00293873">
        <w:rPr>
          <w:lang w:val="en-AU"/>
        </w:rPr>
        <w:t>, and between the precentral and postcentral gyri</w:t>
      </w:r>
      <w:r w:rsidR="00293873">
        <w:rPr>
          <w:lang w:val="en-AU"/>
        </w:rPr>
        <w:t xml:space="preserve"> </w:t>
      </w:r>
      <w:r w:rsidR="00741269">
        <w:rPr>
          <w:lang w:val="en-AU"/>
        </w:rPr>
        <w:t xml:space="preserve">respectively </w:t>
      </w:r>
      <w:r w:rsidR="00293873">
        <w:rPr>
          <w:lang w:val="en-AU"/>
        </w:rPr>
        <w:t xml:space="preserve">(see Table S4 for a full correlation matrix). </w:t>
      </w:r>
      <w:r w:rsidR="001B6E68">
        <w:rPr>
          <w:lang w:val="en-AU"/>
        </w:rPr>
        <w:t>Con</w:t>
      </w:r>
      <w:r w:rsidR="00297116">
        <w:rPr>
          <w:lang w:val="en-AU"/>
        </w:rPr>
        <w:t>s</w:t>
      </w:r>
      <w:r w:rsidR="001B6E68">
        <w:rPr>
          <w:lang w:val="en-AU"/>
        </w:rPr>
        <w:t xml:space="preserve">equently, we can say little about the </w:t>
      </w:r>
      <w:r w:rsidR="00074BEE">
        <w:rPr>
          <w:lang w:val="en-AU"/>
        </w:rPr>
        <w:t xml:space="preserve">about the independent contribution of these regions to the functions </w:t>
      </w:r>
      <w:r w:rsidR="00293873">
        <w:rPr>
          <w:lang w:val="en-AU"/>
        </w:rPr>
        <w:t xml:space="preserve">under </w:t>
      </w:r>
      <w:r w:rsidR="008030B7">
        <w:rPr>
          <w:lang w:val="en-AU"/>
        </w:rPr>
        <w:t>investigation</w:t>
      </w:r>
      <w:r w:rsidR="00293873">
        <w:rPr>
          <w:lang w:val="en-AU"/>
        </w:rPr>
        <w:t xml:space="preserve">, and </w:t>
      </w:r>
      <w:r w:rsidR="006B6CFD">
        <w:rPr>
          <w:lang w:val="en-AU"/>
        </w:rPr>
        <w:t>must</w:t>
      </w:r>
      <w:r w:rsidR="00293873">
        <w:rPr>
          <w:lang w:val="en-AU"/>
        </w:rPr>
        <w:t xml:space="preserve"> keep our </w:t>
      </w:r>
      <w:r w:rsidR="00C6514A">
        <w:rPr>
          <w:lang w:val="en-AU"/>
        </w:rPr>
        <w:t xml:space="preserve">region </w:t>
      </w:r>
      <w:r w:rsidR="008030B7">
        <w:rPr>
          <w:lang w:val="en-AU"/>
        </w:rPr>
        <w:t>descriptions</w:t>
      </w:r>
      <w:r w:rsidR="00293873">
        <w:rPr>
          <w:lang w:val="en-AU"/>
        </w:rPr>
        <w:t xml:space="preserve"> broad</w:t>
      </w:r>
      <w:r w:rsidR="00074BEE">
        <w:rPr>
          <w:lang w:val="en-AU"/>
        </w:rPr>
        <w:t xml:space="preserve"> (see Ding et al, 2020, for further discussion of this problem). </w:t>
      </w:r>
    </w:p>
    <w:p w14:paraId="679A1812" w14:textId="3F47AF0C" w:rsidR="00C6514A" w:rsidRDefault="0054177C" w:rsidP="00E97B02">
      <w:pPr>
        <w:spacing w:line="480" w:lineRule="auto"/>
        <w:ind w:firstLine="720"/>
        <w:rPr>
          <w:lang w:val="en-AU"/>
        </w:rPr>
      </w:pPr>
      <w:r>
        <w:rPr>
          <w:lang w:val="en-AU"/>
        </w:rPr>
        <w:t>Nevertheless</w:t>
      </w:r>
      <w:r w:rsidR="00293873">
        <w:rPr>
          <w:lang w:val="en-AU"/>
        </w:rPr>
        <w:t xml:space="preserve">, </w:t>
      </w:r>
      <w:r w:rsidR="00B62353">
        <w:rPr>
          <w:lang w:val="en-AU"/>
        </w:rPr>
        <w:t>the</w:t>
      </w:r>
      <w:r w:rsidR="006C3D2E">
        <w:rPr>
          <w:lang w:val="en-AU"/>
        </w:rPr>
        <w:t xml:space="preserve"> study provide</w:t>
      </w:r>
      <w:r w:rsidR="002860CA">
        <w:rPr>
          <w:lang w:val="en-AU"/>
        </w:rPr>
        <w:t>s</w:t>
      </w:r>
      <w:r w:rsidR="006C3D2E">
        <w:rPr>
          <w:lang w:val="en-AU"/>
        </w:rPr>
        <w:t xml:space="preserve"> some </w:t>
      </w:r>
      <w:r w:rsidR="00E97B02">
        <w:rPr>
          <w:lang w:val="en-AU"/>
        </w:rPr>
        <w:t>valuable</w:t>
      </w:r>
      <w:r w:rsidR="006C3D2E">
        <w:rPr>
          <w:lang w:val="en-AU"/>
        </w:rPr>
        <w:t xml:space="preserve"> insights</w:t>
      </w:r>
      <w:r w:rsidR="000E5A82">
        <w:rPr>
          <w:lang w:val="en-AU"/>
        </w:rPr>
        <w:t xml:space="preserve"> into sentence planning and its impairment in aphasia</w:t>
      </w:r>
      <w:r w:rsidR="006C3D2E">
        <w:rPr>
          <w:lang w:val="en-AU"/>
        </w:rPr>
        <w:t xml:space="preserve">. </w:t>
      </w:r>
      <w:r w:rsidR="00E97B02">
        <w:rPr>
          <w:lang w:val="en-AU"/>
        </w:rPr>
        <w:t>Perhaps most importantly, i</w:t>
      </w:r>
      <w:r w:rsidR="00625183">
        <w:rPr>
          <w:lang w:val="en-AU"/>
        </w:rPr>
        <w:t xml:space="preserve">t </w:t>
      </w:r>
      <w:r w:rsidR="00272FD0">
        <w:rPr>
          <w:lang w:val="en-AU"/>
        </w:rPr>
        <w:t xml:space="preserve">demonstrates </w:t>
      </w:r>
      <w:r w:rsidR="006C3D2E">
        <w:rPr>
          <w:lang w:val="en-AU"/>
        </w:rPr>
        <w:t xml:space="preserve">the </w:t>
      </w:r>
      <w:r w:rsidR="000E5A82">
        <w:rPr>
          <w:lang w:val="en-AU"/>
        </w:rPr>
        <w:t xml:space="preserve">usefulness of assessing </w:t>
      </w:r>
      <w:r w:rsidR="00285463">
        <w:rPr>
          <w:lang w:val="en-AU"/>
        </w:rPr>
        <w:t xml:space="preserve">individuals on </w:t>
      </w:r>
      <w:r w:rsidR="000E5A82">
        <w:rPr>
          <w:lang w:val="en-AU"/>
        </w:rPr>
        <w:t xml:space="preserve">a wide array of </w:t>
      </w:r>
      <w:r w:rsidR="00E97B02">
        <w:rPr>
          <w:lang w:val="en-AU"/>
        </w:rPr>
        <w:t>language</w:t>
      </w:r>
      <w:r w:rsidR="000E5A82">
        <w:rPr>
          <w:lang w:val="en-AU"/>
        </w:rPr>
        <w:t xml:space="preserve"> measures</w:t>
      </w:r>
      <w:r w:rsidR="00285463">
        <w:rPr>
          <w:lang w:val="en-AU"/>
        </w:rPr>
        <w:t xml:space="preserve"> designed to </w:t>
      </w:r>
      <w:r w:rsidR="00053427">
        <w:rPr>
          <w:lang w:val="en-AU"/>
        </w:rPr>
        <w:t>target</w:t>
      </w:r>
      <w:r w:rsidR="00285463">
        <w:rPr>
          <w:lang w:val="en-AU"/>
        </w:rPr>
        <w:t xml:space="preserve"> different aspects of the speech planning process. </w:t>
      </w:r>
      <w:r w:rsidR="00061BDA">
        <w:rPr>
          <w:lang w:val="en-AU"/>
        </w:rPr>
        <w:t>In particular, we were</w:t>
      </w:r>
      <w:r w:rsidR="00E97B02">
        <w:rPr>
          <w:lang w:val="en-AU"/>
        </w:rPr>
        <w:t xml:space="preserve"> able to show how supplementing more “naturalistic” measures of speech with those obtained from more constrained sentence and word production tasks can be helpful in </w:t>
      </w:r>
      <w:r w:rsidR="00053427">
        <w:rPr>
          <w:lang w:val="en-AU"/>
        </w:rPr>
        <w:t>teasing apart</w:t>
      </w:r>
      <w:r w:rsidR="00E97B02">
        <w:rPr>
          <w:lang w:val="en-AU"/>
        </w:rPr>
        <w:t xml:space="preserve"> the</w:t>
      </w:r>
      <w:r w:rsidR="00053427">
        <w:rPr>
          <w:lang w:val="en-AU"/>
        </w:rPr>
        <w:t xml:space="preserve"> different</w:t>
      </w:r>
      <w:r w:rsidR="00E97B02">
        <w:rPr>
          <w:lang w:val="en-AU"/>
        </w:rPr>
        <w:t xml:space="preserve"> cognitive mechanisms underpinning speech problems in </w:t>
      </w:r>
      <w:r w:rsidR="00053427">
        <w:rPr>
          <w:lang w:val="en-AU"/>
        </w:rPr>
        <w:t>nonfluent aphasia</w:t>
      </w:r>
      <w:r w:rsidR="00E97B02">
        <w:rPr>
          <w:lang w:val="en-AU"/>
        </w:rPr>
        <w:t xml:space="preserve">. </w:t>
      </w:r>
      <w:r w:rsidR="00061BDA">
        <w:rPr>
          <w:lang w:val="en-AU"/>
        </w:rPr>
        <w:t>Further, our</w:t>
      </w:r>
      <w:r w:rsidR="000E5A82">
        <w:rPr>
          <w:lang w:val="en-AU"/>
        </w:rPr>
        <w:t xml:space="preserve"> </w:t>
      </w:r>
      <w:r w:rsidR="00285463">
        <w:rPr>
          <w:lang w:val="en-AU"/>
        </w:rPr>
        <w:t>finding</w:t>
      </w:r>
      <w:r w:rsidR="00762C3E">
        <w:rPr>
          <w:lang w:val="en-AU"/>
        </w:rPr>
        <w:t xml:space="preserve"> of a close</w:t>
      </w:r>
      <w:r w:rsidR="00625183">
        <w:rPr>
          <w:lang w:val="en-AU"/>
        </w:rPr>
        <w:t xml:space="preserve"> </w:t>
      </w:r>
      <w:r w:rsidR="00762C3E">
        <w:rPr>
          <w:lang w:val="en-AU"/>
        </w:rPr>
        <w:t>behavioural and anatomical relationship between</w:t>
      </w:r>
      <w:r w:rsidR="00625183">
        <w:rPr>
          <w:lang w:val="en-AU"/>
        </w:rPr>
        <w:t xml:space="preserve"> </w:t>
      </w:r>
      <w:r w:rsidR="00762C3E">
        <w:rPr>
          <w:lang w:val="en-AU"/>
        </w:rPr>
        <w:t>grammatical content word omission and other aspects</w:t>
      </w:r>
      <w:r w:rsidR="00625183">
        <w:rPr>
          <w:lang w:val="en-AU"/>
        </w:rPr>
        <w:t xml:space="preserve"> </w:t>
      </w:r>
      <w:r w:rsidR="00285463">
        <w:rPr>
          <w:lang w:val="en-AU"/>
        </w:rPr>
        <w:t xml:space="preserve">of </w:t>
      </w:r>
      <w:r w:rsidR="00053427">
        <w:rPr>
          <w:lang w:val="en-AU"/>
        </w:rPr>
        <w:t>speech f</w:t>
      </w:r>
      <w:r w:rsidR="00625183">
        <w:rPr>
          <w:lang w:val="en-AU"/>
        </w:rPr>
        <w:t>luency</w:t>
      </w:r>
      <w:r w:rsidR="00762C3E">
        <w:rPr>
          <w:lang w:val="en-AU"/>
        </w:rPr>
        <w:t xml:space="preserve"> and </w:t>
      </w:r>
      <w:r w:rsidR="00506208">
        <w:rPr>
          <w:lang w:val="en-AU"/>
        </w:rPr>
        <w:t>articulatory</w:t>
      </w:r>
      <w:r w:rsidR="006134DA">
        <w:rPr>
          <w:lang w:val="en-AU"/>
        </w:rPr>
        <w:t xml:space="preserve"> </w:t>
      </w:r>
      <w:r w:rsidR="00762C3E">
        <w:rPr>
          <w:lang w:val="en-AU"/>
        </w:rPr>
        <w:t xml:space="preserve">quality </w:t>
      </w:r>
      <w:r w:rsidR="00762C3E">
        <w:rPr>
          <w:lang w:val="en-AU"/>
        </w:rPr>
        <w:lastRenderedPageBreak/>
        <w:t>raise</w:t>
      </w:r>
      <w:r w:rsidR="00061BDA">
        <w:rPr>
          <w:lang w:val="en-AU"/>
        </w:rPr>
        <w:t>s</w:t>
      </w:r>
      <w:r w:rsidR="00053427">
        <w:rPr>
          <w:lang w:val="en-AU"/>
        </w:rPr>
        <w:t xml:space="preserve"> the possibility </w:t>
      </w:r>
      <w:r w:rsidR="00A36889">
        <w:rPr>
          <w:lang w:val="en-AU"/>
        </w:rPr>
        <w:t>that</w:t>
      </w:r>
      <w:r w:rsidR="00053427">
        <w:rPr>
          <w:lang w:val="en-AU"/>
        </w:rPr>
        <w:t xml:space="preserve"> </w:t>
      </w:r>
      <w:r w:rsidR="00061BDA">
        <w:rPr>
          <w:lang w:val="en-AU"/>
        </w:rPr>
        <w:t>apparent “</w:t>
      </w:r>
      <w:r w:rsidR="00762C3E">
        <w:rPr>
          <w:lang w:val="en-AU"/>
        </w:rPr>
        <w:t>grammatical</w:t>
      </w:r>
      <w:r w:rsidR="00061BDA">
        <w:rPr>
          <w:lang w:val="en-AU"/>
        </w:rPr>
        <w:t>”</w:t>
      </w:r>
      <w:r w:rsidR="00762C3E">
        <w:rPr>
          <w:lang w:val="en-AU"/>
        </w:rPr>
        <w:t xml:space="preserve"> abnormalities </w:t>
      </w:r>
      <w:r w:rsidR="00061BDA">
        <w:rPr>
          <w:lang w:val="en-AU"/>
        </w:rPr>
        <w:t>in nonfluent speech may not reflect a</w:t>
      </w:r>
      <w:r w:rsidR="00762C3E">
        <w:rPr>
          <w:lang w:val="en-AU"/>
        </w:rPr>
        <w:t xml:space="preserve"> grammatical problem at all. </w:t>
      </w:r>
      <w:r w:rsidR="00061BDA">
        <w:rPr>
          <w:lang w:val="en-AU"/>
        </w:rPr>
        <w:t>Our tentative model</w:t>
      </w:r>
      <w:r w:rsidR="00053427">
        <w:rPr>
          <w:lang w:val="en-AU"/>
        </w:rPr>
        <w:t xml:space="preserve"> may be able to account for </w:t>
      </w:r>
      <w:r w:rsidR="00061BDA">
        <w:rPr>
          <w:lang w:val="en-AU"/>
        </w:rPr>
        <w:t>a wide range of</w:t>
      </w:r>
      <w:r w:rsidR="00053427">
        <w:rPr>
          <w:lang w:val="en-AU"/>
        </w:rPr>
        <w:t xml:space="preserve"> features of nonfluent </w:t>
      </w:r>
      <w:r w:rsidR="00A36889">
        <w:rPr>
          <w:lang w:val="en-AU"/>
        </w:rPr>
        <w:t>aphasi</w:t>
      </w:r>
      <w:r w:rsidR="006134DA">
        <w:rPr>
          <w:lang w:val="en-AU"/>
        </w:rPr>
        <w:t>c</w:t>
      </w:r>
      <w:r w:rsidR="00053427">
        <w:rPr>
          <w:lang w:val="en-AU"/>
        </w:rPr>
        <w:t xml:space="preserve"> speech without </w:t>
      </w:r>
      <w:r w:rsidR="00762C3E">
        <w:rPr>
          <w:lang w:val="en-AU"/>
        </w:rPr>
        <w:t xml:space="preserve">proposing </w:t>
      </w:r>
      <w:r w:rsidR="00061BDA">
        <w:rPr>
          <w:lang w:val="en-AU"/>
        </w:rPr>
        <w:t>any kind of syntactic difficult or</w:t>
      </w:r>
      <w:r w:rsidR="00E97B02">
        <w:rPr>
          <w:lang w:val="en-AU"/>
        </w:rPr>
        <w:t xml:space="preserve"> “</w:t>
      </w:r>
      <w:r w:rsidR="00061BDA">
        <w:rPr>
          <w:lang w:val="en-AU"/>
        </w:rPr>
        <w:t>structure</w:t>
      </w:r>
      <w:r w:rsidR="00E97B02">
        <w:rPr>
          <w:lang w:val="en-AU"/>
        </w:rPr>
        <w:t xml:space="preserve"> genera</w:t>
      </w:r>
      <w:r w:rsidR="00061BDA">
        <w:rPr>
          <w:lang w:val="en-AU"/>
        </w:rPr>
        <w:t>tor</w:t>
      </w:r>
      <w:r w:rsidR="00E97B02">
        <w:rPr>
          <w:lang w:val="en-AU"/>
        </w:rPr>
        <w:t xml:space="preserve">” at all. </w:t>
      </w:r>
      <w:r w:rsidR="00053427">
        <w:rPr>
          <w:lang w:val="en-AU"/>
        </w:rPr>
        <w:t>The findings make a</w:t>
      </w:r>
      <w:r w:rsidR="00625183">
        <w:rPr>
          <w:lang w:val="en-AU"/>
        </w:rPr>
        <w:t xml:space="preserve"> strong case for shifting our research focus away from grammatical aspects of nonfluent aphasia, towards</w:t>
      </w:r>
      <w:r w:rsidR="00C6514A">
        <w:rPr>
          <w:lang w:val="en-AU"/>
        </w:rPr>
        <w:t xml:space="preserve"> </w:t>
      </w:r>
      <w:r w:rsidR="00E97B02">
        <w:rPr>
          <w:lang w:val="en-AU"/>
        </w:rPr>
        <w:t>the r selection of</w:t>
      </w:r>
      <w:r w:rsidR="00625183">
        <w:rPr>
          <w:lang w:val="en-AU"/>
        </w:rPr>
        <w:t xml:space="preserve"> </w:t>
      </w:r>
      <w:r w:rsidR="00061BDA">
        <w:rPr>
          <w:lang w:val="en-AU"/>
        </w:rPr>
        <w:t>conceptual elements</w:t>
      </w:r>
      <w:r w:rsidR="00625183">
        <w:rPr>
          <w:lang w:val="en-AU"/>
        </w:rPr>
        <w:t xml:space="preserve">, </w:t>
      </w:r>
      <w:r w:rsidR="00061BDA">
        <w:rPr>
          <w:lang w:val="en-AU"/>
        </w:rPr>
        <w:t xml:space="preserve">including </w:t>
      </w:r>
      <w:r w:rsidR="00625183">
        <w:rPr>
          <w:lang w:val="en-AU"/>
        </w:rPr>
        <w:t xml:space="preserve">phenomena that straddle the divide between sentence and single word production. </w:t>
      </w:r>
      <w:r w:rsidR="00061BDA">
        <w:rPr>
          <w:lang w:val="en-AU"/>
        </w:rPr>
        <w:t xml:space="preserve">Perhaps most importantly, if we are </w:t>
      </w:r>
      <w:r w:rsidR="00E97B02">
        <w:rPr>
          <w:lang w:val="en-AU"/>
        </w:rPr>
        <w:t>o gain a fuller understanding of</w:t>
      </w:r>
      <w:r w:rsidR="00C6514A">
        <w:rPr>
          <w:lang w:val="en-AU"/>
        </w:rPr>
        <w:t xml:space="preserve"> the brain regions </w:t>
      </w:r>
      <w:r w:rsidR="00061BDA">
        <w:rPr>
          <w:lang w:val="en-AU"/>
        </w:rPr>
        <w:t xml:space="preserve">that are crucial for </w:t>
      </w:r>
      <w:r w:rsidR="00C6514A">
        <w:rPr>
          <w:lang w:val="en-AU"/>
        </w:rPr>
        <w:t xml:space="preserve">sentence production, </w:t>
      </w:r>
      <w:r w:rsidR="00061BDA">
        <w:rPr>
          <w:lang w:val="en-AU"/>
        </w:rPr>
        <w:t xml:space="preserve">and the specific cognitive processes they support, </w:t>
      </w:r>
      <w:r w:rsidR="00C6514A">
        <w:rPr>
          <w:lang w:val="en-AU"/>
        </w:rPr>
        <w:t>we need to be guided by a richer theoretical framework that identifies the various cognitive processes that contribute to this task</w:t>
      </w:r>
      <w:r w:rsidR="00E97B02">
        <w:rPr>
          <w:lang w:val="en-AU"/>
        </w:rPr>
        <w:t xml:space="preserve"> and the likely consequences of impairment to each</w:t>
      </w:r>
      <w:r w:rsidR="00C6514A">
        <w:rPr>
          <w:lang w:val="en-AU"/>
        </w:rPr>
        <w:t xml:space="preserve">. </w:t>
      </w:r>
    </w:p>
    <w:p w14:paraId="4E13C70F" w14:textId="67C8736C" w:rsidR="000A7AA3" w:rsidRDefault="000A7AA3" w:rsidP="00E97B02">
      <w:pPr>
        <w:spacing w:line="480" w:lineRule="auto"/>
        <w:ind w:firstLine="720"/>
        <w:rPr>
          <w:lang w:val="en-AU"/>
        </w:rPr>
      </w:pPr>
    </w:p>
    <w:p w14:paraId="1000E26F" w14:textId="1DF349DF" w:rsidR="000A7AA3" w:rsidRPr="00167EF6" w:rsidRDefault="000A7AA3" w:rsidP="00167EF6">
      <w:pPr>
        <w:spacing w:line="480" w:lineRule="auto"/>
        <w:jc w:val="center"/>
        <w:rPr>
          <w:b/>
          <w:bCs/>
          <w:lang w:val="en-AU"/>
        </w:rPr>
      </w:pPr>
      <w:r w:rsidRPr="00167EF6">
        <w:rPr>
          <w:b/>
          <w:bCs/>
          <w:lang w:val="en-AU"/>
        </w:rPr>
        <w:t>Footnotes</w:t>
      </w:r>
    </w:p>
    <w:p w14:paraId="74978207" w14:textId="73643D4D" w:rsidR="000A7AA3" w:rsidRPr="00167EF6" w:rsidRDefault="000A7AA3" w:rsidP="00167EF6">
      <w:pPr>
        <w:spacing w:line="360" w:lineRule="auto"/>
        <w:ind w:firstLine="720"/>
        <w:rPr>
          <w:sz w:val="26"/>
          <w:szCs w:val="26"/>
          <w:lang w:val="en-AU"/>
        </w:rPr>
      </w:pPr>
    </w:p>
    <w:p w14:paraId="6790AF6D" w14:textId="6CB35FDF" w:rsidR="000A7AA3" w:rsidRPr="00167EF6" w:rsidRDefault="000A7AA3" w:rsidP="00167EF6">
      <w:pPr>
        <w:pStyle w:val="ListParagraph"/>
        <w:numPr>
          <w:ilvl w:val="0"/>
          <w:numId w:val="21"/>
        </w:numPr>
        <w:ind w:left="284" w:hanging="284"/>
        <w:rPr>
          <w:rFonts w:ascii="Times New Roman" w:hAnsi="Times New Roman" w:cs="Times New Roman"/>
          <w:lang w:val="en-AU"/>
        </w:rPr>
      </w:pPr>
      <w:r w:rsidRPr="00167EF6">
        <w:rPr>
          <w:rFonts w:ascii="Times New Roman" w:hAnsi="Times New Roman" w:cs="Times New Roman"/>
          <w:iCs/>
        </w:rPr>
        <w:t>Latencies were first log transformed (natural log), and then outliers were removed (values that lay more than 2.5 standard deviations above or below the mean for that relatedness x cycle combination). All means and all statistical analyses reported in this paper, including the measures submitted to VLSM analysis, were based on the logged latencies.</w:t>
      </w:r>
    </w:p>
    <w:p w14:paraId="329D38D3" w14:textId="77777777" w:rsidR="002C7746" w:rsidRDefault="002C7746" w:rsidP="002C7746">
      <w:pPr>
        <w:spacing w:line="276" w:lineRule="auto"/>
        <w:ind w:firstLine="720"/>
        <w:rPr>
          <w:bCs/>
          <w:sz w:val="22"/>
          <w:szCs w:val="22"/>
          <w:lang w:val="en-GB"/>
        </w:rPr>
      </w:pPr>
    </w:p>
    <w:p w14:paraId="19F5B9BF" w14:textId="77777777" w:rsidR="00EE4815" w:rsidRDefault="00EE4815" w:rsidP="00EE4815">
      <w:pPr>
        <w:spacing w:line="480" w:lineRule="auto"/>
        <w:rPr>
          <w:bCs/>
          <w:lang w:val="en-GB"/>
        </w:rPr>
      </w:pPr>
    </w:p>
    <w:p w14:paraId="74A70AF6" w14:textId="77777777" w:rsidR="00EE4815" w:rsidRDefault="00EE4815" w:rsidP="00EE4815">
      <w:pPr>
        <w:spacing w:line="480" w:lineRule="auto"/>
        <w:jc w:val="center"/>
        <w:rPr>
          <w:b/>
          <w:lang w:val="en-GB"/>
        </w:rPr>
      </w:pPr>
      <w:r w:rsidRPr="002C7746">
        <w:rPr>
          <w:b/>
          <w:lang w:val="en-GB"/>
        </w:rPr>
        <w:t>Acknowledgements</w:t>
      </w:r>
    </w:p>
    <w:p w14:paraId="3561DAF3" w14:textId="16EF47ED" w:rsidR="00DE36EF" w:rsidRPr="00DE36EF" w:rsidRDefault="00DE36EF" w:rsidP="00EE4815">
      <w:pPr>
        <w:spacing w:line="480" w:lineRule="auto"/>
        <w:rPr>
          <w:bCs/>
          <w:lang w:val="en-GB"/>
        </w:rPr>
      </w:pPr>
      <w:r w:rsidRPr="00DE36EF">
        <w:rPr>
          <w:bCs/>
          <w:lang w:val="en-GB"/>
        </w:rPr>
        <w:t xml:space="preserve">We thank all our participants for their time spent to support our research. Thank you to Jacob Cameron and Angie </w:t>
      </w:r>
      <w:proofErr w:type="spellStart"/>
      <w:r w:rsidRPr="00DE36EF">
        <w:rPr>
          <w:bCs/>
          <w:lang w:val="en-GB"/>
        </w:rPr>
        <w:t>Slocombe</w:t>
      </w:r>
      <w:proofErr w:type="spellEnd"/>
      <w:r w:rsidRPr="00DE36EF">
        <w:rPr>
          <w:bCs/>
          <w:lang w:val="en-GB"/>
        </w:rPr>
        <w:t xml:space="preserve"> for help and advice regarding the magnetic resonance imaging (MRI) scans.</w:t>
      </w:r>
    </w:p>
    <w:p w14:paraId="1065A728" w14:textId="3552A376" w:rsidR="00512782" w:rsidRPr="002C7746" w:rsidRDefault="00DE36EF" w:rsidP="00EE4815">
      <w:pPr>
        <w:spacing w:line="480" w:lineRule="auto"/>
        <w:rPr>
          <w:bCs/>
          <w:lang w:val="en-GB"/>
        </w:rPr>
      </w:pPr>
      <w:r w:rsidRPr="00DE36EF">
        <w:rPr>
          <w:bCs/>
          <w:lang w:val="en-GB"/>
        </w:rPr>
        <w:t>This research was supported by a Marsden Project grant to C.E. Wilshire [grant number VUW0505].</w:t>
      </w:r>
    </w:p>
    <w:p w14:paraId="3CCA1F77" w14:textId="77777777" w:rsidR="00167EF6" w:rsidRDefault="00167EF6">
      <w:pPr>
        <w:spacing w:after="160" w:line="259" w:lineRule="auto"/>
        <w:ind w:firstLine="720"/>
        <w:rPr>
          <w:rFonts w:eastAsiaTheme="minorHAnsi" w:cs="Times New Roman (Body CS)"/>
          <w:b/>
          <w:bCs/>
          <w:color w:val="000000" w:themeColor="text1"/>
          <w:sz w:val="22"/>
          <w:szCs w:val="22"/>
          <w:lang w:val="en-GB" w:eastAsia="en-US"/>
        </w:rPr>
      </w:pPr>
      <w:r>
        <w:rPr>
          <w:b/>
          <w:bCs/>
          <w:sz w:val="22"/>
        </w:rPr>
        <w:br w:type="page"/>
      </w:r>
    </w:p>
    <w:p w14:paraId="3DC9171B" w14:textId="77D4E109" w:rsidR="00512782" w:rsidRDefault="00512782" w:rsidP="00512782">
      <w:pPr>
        <w:pStyle w:val="Univeristy"/>
        <w:adjustRightInd w:val="0"/>
        <w:snapToGrid w:val="0"/>
        <w:spacing w:beforeLines="120" w:before="288" w:after="0"/>
        <w:ind w:firstLine="0"/>
        <w:jc w:val="center"/>
        <w:rPr>
          <w:b/>
          <w:bCs/>
          <w:sz w:val="22"/>
        </w:rPr>
      </w:pPr>
      <w:r w:rsidRPr="005A5DEE">
        <w:rPr>
          <w:b/>
          <w:bCs/>
          <w:sz w:val="22"/>
        </w:rPr>
        <w:lastRenderedPageBreak/>
        <w:t>References</w:t>
      </w:r>
    </w:p>
    <w:p w14:paraId="54972966" w14:textId="77777777" w:rsidR="00512782" w:rsidRDefault="00512782" w:rsidP="00512782"/>
    <w:p w14:paraId="79C66849"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Anders, R., Riès, S., Van Maanen, L., &amp; Alario, F. X. (2017). Lesions to the left lateral prefrontal cortex impair decision threshold adjustment for lexical selection. </w:t>
      </w:r>
      <w:r w:rsidRPr="003A04C9">
        <w:rPr>
          <w:rFonts w:eastAsiaTheme="majorEastAsia"/>
          <w:i/>
          <w:iCs/>
        </w:rPr>
        <w:t>Cognitive Neuropsychology, 34(1-2)</w:t>
      </w:r>
      <w:r w:rsidRPr="003A04C9">
        <w:rPr>
          <w:rFonts w:eastAsiaTheme="majorEastAsia"/>
        </w:rPr>
        <w:t>, 1-20</w:t>
      </w:r>
      <w:r>
        <w:rPr>
          <w:rFonts w:eastAsiaTheme="majorEastAsia"/>
        </w:rPr>
        <w:t>. https</w:t>
      </w:r>
      <w:r w:rsidRPr="003A04C9">
        <w:rPr>
          <w:rFonts w:eastAsiaTheme="majorEastAsia"/>
        </w:rPr>
        <w:t>://doi.org/10.1080/02643294.2017.1282447</w:t>
      </w:r>
    </w:p>
    <w:p w14:paraId="4B9BC4B6"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Ashburner, J., Barnes, G., Chen, C., Daunizeau, J., Flandin, G., Friston, K., ... Phillips, C. 1199 (2012). </w:t>
      </w:r>
      <w:r w:rsidRPr="003A04C9">
        <w:rPr>
          <w:rFonts w:eastAsiaTheme="majorEastAsia"/>
          <w:i/>
          <w:iCs/>
        </w:rPr>
        <w:t>SPM8 manual.</w:t>
      </w:r>
      <w:r w:rsidRPr="003A04C9">
        <w:rPr>
          <w:rFonts w:eastAsiaTheme="majorEastAsia"/>
        </w:rPr>
        <w:t xml:space="preserve"> Functional Imaging Laboratory, Institute of Neurology.</w:t>
      </w:r>
    </w:p>
    <w:p w14:paraId="31D64E43"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Baldo, J. V., Wilkins, D. P., Ogar, J., Willock, S., &amp; Dronkers, N. F. (2011). Role of the precentral gyrus of the insula in complex articulation. </w:t>
      </w:r>
      <w:r w:rsidRPr="003A04C9">
        <w:rPr>
          <w:rFonts w:eastAsiaTheme="majorEastAsia"/>
          <w:i/>
          <w:iCs/>
        </w:rPr>
        <w:t>Cortex, 47(7)</w:t>
      </w:r>
      <w:r w:rsidRPr="003A04C9">
        <w:rPr>
          <w:rFonts w:eastAsiaTheme="majorEastAsia"/>
        </w:rPr>
        <w:t>, 800-807</w:t>
      </w:r>
      <w:r>
        <w:rPr>
          <w:rFonts w:eastAsiaTheme="majorEastAsia"/>
        </w:rPr>
        <w:t>. https</w:t>
      </w:r>
      <w:r w:rsidRPr="003A04C9">
        <w:rPr>
          <w:rFonts w:eastAsiaTheme="majorEastAsia"/>
        </w:rPr>
        <w:t>://doi.org/10.1016/j.cortex.2010.07.001</w:t>
      </w:r>
    </w:p>
    <w:p w14:paraId="05853982"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Barker, M. S., Nelson, N. L., &amp; Robinson, G. A. (2020). Idea formulation for spoken language production: The interface of cognition and language. Journal of the International </w:t>
      </w:r>
      <w:r w:rsidRPr="003A04C9">
        <w:rPr>
          <w:rFonts w:eastAsiaTheme="majorEastAsia"/>
          <w:i/>
          <w:iCs/>
        </w:rPr>
        <w:t>Neuropsychological Society, 26(2)</w:t>
      </w:r>
      <w:r w:rsidRPr="003A04C9">
        <w:rPr>
          <w:rFonts w:eastAsiaTheme="majorEastAsia"/>
        </w:rPr>
        <w:t>, 226-240</w:t>
      </w:r>
      <w:r>
        <w:rPr>
          <w:rFonts w:eastAsiaTheme="majorEastAsia"/>
        </w:rPr>
        <w:t>. https</w:t>
      </w:r>
      <w:r w:rsidRPr="003A04C9">
        <w:rPr>
          <w:rFonts w:eastAsiaTheme="majorEastAsia"/>
        </w:rPr>
        <w:t>://doi.org/10.1017/S1355617719001097</w:t>
      </w:r>
    </w:p>
    <w:p w14:paraId="62FBE98B"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Basilakos, A., Fillmore, P. T., Rorden, C., Guo, D., Bonilha, L., &amp; Fridriksson, J. (2014). Regional white matter damage predicts speech fluency in chronic post-stroke aphasia. </w:t>
      </w:r>
      <w:r w:rsidRPr="003A04C9">
        <w:rPr>
          <w:rFonts w:eastAsiaTheme="majorEastAsia"/>
          <w:i/>
          <w:iCs/>
        </w:rPr>
        <w:t>Frontiers in Human Neuroscience, 8, 845</w:t>
      </w:r>
      <w:r>
        <w:rPr>
          <w:rFonts w:eastAsiaTheme="majorEastAsia"/>
        </w:rPr>
        <w:t>. https</w:t>
      </w:r>
      <w:r w:rsidRPr="003A04C9">
        <w:rPr>
          <w:rFonts w:eastAsiaTheme="majorEastAsia"/>
        </w:rPr>
        <w:t>://doi.org/10.3389/fnhum.2014.00845</w:t>
      </w:r>
    </w:p>
    <w:p w14:paraId="753B77F9" w14:textId="5B590A2B" w:rsidR="00091DAC" w:rsidRDefault="00091DAC" w:rsidP="00091DAC">
      <w:pPr>
        <w:spacing w:before="120" w:after="120" w:line="360" w:lineRule="auto"/>
        <w:ind w:left="426" w:hanging="426"/>
        <w:rPr>
          <w:rFonts w:eastAsiaTheme="majorEastAsia"/>
        </w:rPr>
      </w:pPr>
      <w:r w:rsidRPr="003A04C9">
        <w:rPr>
          <w:rFonts w:eastAsiaTheme="majorEastAsia"/>
        </w:rPr>
        <w:t xml:space="preserve">Belke, E. (2017). Effects of lesions to the left lateral prefrontal cortex on task-specific top-down biases and response strategies in blocked-cyclic naming. </w:t>
      </w:r>
      <w:r w:rsidRPr="003A04C9">
        <w:rPr>
          <w:rFonts w:eastAsiaTheme="majorEastAsia"/>
          <w:i/>
          <w:iCs/>
        </w:rPr>
        <w:t>Cognitive Neuropsychology, 34(1-2)</w:t>
      </w:r>
      <w:r w:rsidRPr="003A04C9">
        <w:rPr>
          <w:rFonts w:eastAsiaTheme="majorEastAsia"/>
        </w:rPr>
        <w:t>, 26-32</w:t>
      </w:r>
      <w:r>
        <w:rPr>
          <w:rFonts w:eastAsiaTheme="majorEastAsia"/>
        </w:rPr>
        <w:t>. https</w:t>
      </w:r>
      <w:r w:rsidRPr="003A04C9">
        <w:rPr>
          <w:rFonts w:eastAsiaTheme="majorEastAsia"/>
        </w:rPr>
        <w:t>://doi.org/10.1080/02643294.2017.1329200</w:t>
      </w:r>
    </w:p>
    <w:p w14:paraId="05767CAD"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Belke, E., &amp; Stielow, A. (2013). Cumulative and non-cumulative semantic interference in object naming: Evidence from blocked and continuous manipulations of semantic context. </w:t>
      </w:r>
      <w:r w:rsidRPr="003A04C9">
        <w:rPr>
          <w:rFonts w:eastAsiaTheme="majorEastAsia"/>
          <w:i/>
          <w:iCs/>
        </w:rPr>
        <w:t>Quarterly Journal of Experimental Psychology, 66(11)</w:t>
      </w:r>
      <w:r w:rsidRPr="003A04C9">
        <w:rPr>
          <w:rFonts w:eastAsiaTheme="majorEastAsia"/>
        </w:rPr>
        <w:t>, 2135-2160</w:t>
      </w:r>
      <w:r>
        <w:rPr>
          <w:rFonts w:eastAsiaTheme="majorEastAsia"/>
        </w:rPr>
        <w:t>. https</w:t>
      </w:r>
      <w:r w:rsidRPr="003A04C9">
        <w:rPr>
          <w:rFonts w:eastAsiaTheme="majorEastAsia"/>
        </w:rPr>
        <w:t>://doi.org/10.1080/17470218.2013.775318</w:t>
      </w:r>
    </w:p>
    <w:p w14:paraId="2D99BE02"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Belke, E., Meyer, A. S., &amp; Damian, M. F. (2005). Refractory effects in picture naming as assessed in a semantic blocking paradigm. </w:t>
      </w:r>
      <w:r w:rsidRPr="003A04C9">
        <w:rPr>
          <w:rFonts w:eastAsiaTheme="majorEastAsia"/>
          <w:i/>
          <w:iCs/>
        </w:rPr>
        <w:t xml:space="preserve">The Quarterly Journal of Experimental Psychology, 58(4), </w:t>
      </w:r>
      <w:r w:rsidRPr="003A04C9">
        <w:rPr>
          <w:rFonts w:eastAsiaTheme="majorEastAsia"/>
        </w:rPr>
        <w:t>667-692</w:t>
      </w:r>
      <w:r>
        <w:rPr>
          <w:rFonts w:eastAsiaTheme="majorEastAsia"/>
        </w:rPr>
        <w:t>. https</w:t>
      </w:r>
      <w:r w:rsidRPr="003A04C9">
        <w:rPr>
          <w:rFonts w:eastAsiaTheme="majorEastAsia"/>
        </w:rPr>
        <w:t>://doi.org/10.1080/02724980443000142</w:t>
      </w:r>
    </w:p>
    <w:p w14:paraId="7E1B1F4D"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Bock, J. K. (1986). Syntactic persistence in language production. </w:t>
      </w:r>
      <w:r w:rsidRPr="003A04C9">
        <w:rPr>
          <w:rFonts w:eastAsiaTheme="majorEastAsia"/>
          <w:i/>
          <w:iCs/>
        </w:rPr>
        <w:t>Cognitive Psychology, 18(3)</w:t>
      </w:r>
      <w:r w:rsidRPr="003A04C9">
        <w:rPr>
          <w:rFonts w:eastAsiaTheme="majorEastAsia"/>
        </w:rPr>
        <w:t>, 355-387</w:t>
      </w:r>
      <w:r>
        <w:rPr>
          <w:rFonts w:eastAsiaTheme="majorEastAsia"/>
        </w:rPr>
        <w:t>. https</w:t>
      </w:r>
      <w:r w:rsidRPr="003A04C9">
        <w:rPr>
          <w:rFonts w:eastAsiaTheme="majorEastAsia"/>
        </w:rPr>
        <w:t>://doi.org/10.1016/0010-0285(86)90004-6</w:t>
      </w:r>
    </w:p>
    <w:p w14:paraId="718CBF3C"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Borovsky, A., Saygin, A. P., Bates, E., &amp; Dronkers, N. (2007). Lesion correlates of conversational speech production deficits. </w:t>
      </w:r>
      <w:r w:rsidRPr="003A04C9">
        <w:rPr>
          <w:rFonts w:eastAsiaTheme="majorEastAsia"/>
          <w:i/>
          <w:iCs/>
        </w:rPr>
        <w:t>Neuropsychologia, 45(11),</w:t>
      </w:r>
      <w:r w:rsidRPr="003A04C9">
        <w:rPr>
          <w:rFonts w:eastAsiaTheme="majorEastAsia"/>
        </w:rPr>
        <w:t xml:space="preserve"> 2525-2533</w:t>
      </w:r>
      <w:r>
        <w:rPr>
          <w:rFonts w:eastAsiaTheme="majorEastAsia"/>
        </w:rPr>
        <w:t>. https</w:t>
      </w:r>
      <w:r w:rsidRPr="003A04C9">
        <w:rPr>
          <w:rFonts w:eastAsiaTheme="majorEastAsia"/>
        </w:rPr>
        <w:t>://doi.org/10.1016/j.neuropsychologia.2007.03.023</w:t>
      </w:r>
    </w:p>
    <w:p w14:paraId="4748CE7D" w14:textId="77777777" w:rsidR="00091DAC" w:rsidRDefault="00091DAC" w:rsidP="00091DAC">
      <w:pPr>
        <w:spacing w:before="120" w:after="120" w:line="360" w:lineRule="auto"/>
        <w:ind w:left="426" w:hanging="426"/>
        <w:rPr>
          <w:rFonts w:eastAsiaTheme="majorEastAsia"/>
        </w:rPr>
      </w:pPr>
      <w:r w:rsidRPr="003A04C9">
        <w:rPr>
          <w:rFonts w:eastAsiaTheme="majorEastAsia"/>
        </w:rPr>
        <w:lastRenderedPageBreak/>
        <w:t xml:space="preserve">Catani, M., Mesulam, M. M., Jakobsen, E., Malik, F., Martersteck, A., Wieneke, C., ... &amp; Rogalski, E. (2013). A novel frontal pathway underlies verbal fluency in primary progressive aphasia. </w:t>
      </w:r>
      <w:r w:rsidRPr="003A04C9">
        <w:rPr>
          <w:rFonts w:eastAsiaTheme="majorEastAsia"/>
          <w:i/>
          <w:iCs/>
        </w:rPr>
        <w:t>Brain, 136(8)</w:t>
      </w:r>
      <w:r w:rsidRPr="003A04C9">
        <w:rPr>
          <w:rFonts w:eastAsiaTheme="majorEastAsia"/>
        </w:rPr>
        <w:t>, 2619-2628</w:t>
      </w:r>
      <w:r>
        <w:rPr>
          <w:rFonts w:eastAsiaTheme="majorEastAsia"/>
        </w:rPr>
        <w:t>. https</w:t>
      </w:r>
      <w:r w:rsidRPr="003A04C9">
        <w:rPr>
          <w:rFonts w:eastAsiaTheme="majorEastAsia"/>
        </w:rPr>
        <w:t>://doi.org/10.1093/brain/awt163</w:t>
      </w:r>
    </w:p>
    <w:p w14:paraId="4F266986"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Chang, E. F., Kurteff, G., &amp; Wilson, S. M. (2018). Selective interference with syntactic encoding during sentence production by direct electrocortical stimulation of the inferior frontal gyrus. </w:t>
      </w:r>
      <w:r w:rsidRPr="003A04C9">
        <w:rPr>
          <w:rFonts w:eastAsiaTheme="majorEastAsia"/>
          <w:i/>
          <w:iCs/>
        </w:rPr>
        <w:t>Journal of Cognitive Neuroscience, 30(3)</w:t>
      </w:r>
      <w:r w:rsidRPr="003A04C9">
        <w:rPr>
          <w:rFonts w:eastAsiaTheme="majorEastAsia"/>
        </w:rPr>
        <w:t>, 411-420</w:t>
      </w:r>
      <w:r>
        <w:rPr>
          <w:rFonts w:eastAsiaTheme="majorEastAsia"/>
        </w:rPr>
        <w:t>. https</w:t>
      </w:r>
      <w:r w:rsidRPr="003A04C9">
        <w:rPr>
          <w:rFonts w:eastAsiaTheme="majorEastAsia"/>
        </w:rPr>
        <w:t>://doi.org/10.1162/jocn_a_01215</w:t>
      </w:r>
    </w:p>
    <w:p w14:paraId="0FAB2AE6"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Chang, F. (2002). Symbolically speaking: A connectionist model of sentence production. </w:t>
      </w:r>
      <w:r w:rsidRPr="003A04C9">
        <w:rPr>
          <w:rFonts w:eastAsiaTheme="majorEastAsia"/>
          <w:i/>
          <w:iCs/>
        </w:rPr>
        <w:t>Cognitive Science, 26(5),</w:t>
      </w:r>
      <w:r w:rsidRPr="003A04C9">
        <w:rPr>
          <w:rFonts w:eastAsiaTheme="majorEastAsia"/>
        </w:rPr>
        <w:t xml:space="preserve"> 609-651</w:t>
      </w:r>
      <w:r>
        <w:rPr>
          <w:rFonts w:eastAsiaTheme="majorEastAsia"/>
        </w:rPr>
        <w:t>. https</w:t>
      </w:r>
      <w:r w:rsidRPr="003A04C9">
        <w:rPr>
          <w:rFonts w:eastAsiaTheme="majorEastAsia"/>
        </w:rPr>
        <w:t>://doi.org/10.1207/s15516709cog2605_3</w:t>
      </w:r>
    </w:p>
    <w:p w14:paraId="34997EA4"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Chang, F., Dell, G. S., &amp; Bock, K. (2006). Becoming syntactic. </w:t>
      </w:r>
      <w:r w:rsidRPr="003A04C9">
        <w:rPr>
          <w:rFonts w:eastAsiaTheme="majorEastAsia"/>
          <w:i/>
          <w:iCs/>
        </w:rPr>
        <w:t>Psychological Review, 113(2)</w:t>
      </w:r>
      <w:r w:rsidRPr="003A04C9">
        <w:rPr>
          <w:rFonts w:eastAsiaTheme="majorEastAsia"/>
        </w:rPr>
        <w:t>, 234. doi:10.1037/0033-295X.113.2.234https://doi.org/10.1037/0033-295X.113.2.234</w:t>
      </w:r>
    </w:p>
    <w:p w14:paraId="7F9C1F2F" w14:textId="77777777" w:rsidR="00091DAC" w:rsidRDefault="00091DAC" w:rsidP="00091DAC">
      <w:pPr>
        <w:spacing w:before="120" w:after="120" w:line="360" w:lineRule="auto"/>
        <w:ind w:left="426" w:hanging="426"/>
        <w:rPr>
          <w:rFonts w:eastAsiaTheme="majorEastAsia"/>
        </w:rPr>
      </w:pPr>
      <w:r w:rsidRPr="003A04C9">
        <w:rPr>
          <w:rFonts w:eastAsiaTheme="majorEastAsia"/>
        </w:rPr>
        <w:t>Chernoff, B. L., Sims, M. H., Smith, S. O., Pilcher, W. H., &amp; Mahon, B. Z. (2019). Direct electrical stimulation of the left frontal aslant tract disrupts sentence planning without affecting articulation.</w:t>
      </w:r>
      <w:r w:rsidRPr="003A04C9">
        <w:rPr>
          <w:rFonts w:eastAsiaTheme="majorEastAsia"/>
          <w:i/>
          <w:iCs/>
        </w:rPr>
        <w:t xml:space="preserve"> Cognitive Neuropsychology, 36(3-4)</w:t>
      </w:r>
      <w:r w:rsidRPr="003A04C9">
        <w:rPr>
          <w:rFonts w:eastAsiaTheme="majorEastAsia"/>
        </w:rPr>
        <w:t>, 178-192</w:t>
      </w:r>
      <w:r>
        <w:rPr>
          <w:rFonts w:eastAsiaTheme="majorEastAsia"/>
        </w:rPr>
        <w:t>. https</w:t>
      </w:r>
      <w:r w:rsidRPr="003A04C9">
        <w:rPr>
          <w:rFonts w:eastAsiaTheme="majorEastAsia"/>
        </w:rPr>
        <w:t>://doi.org/10.1080/02643294.2019.1619544</w:t>
      </w:r>
    </w:p>
    <w:p w14:paraId="23654477"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de Roo, E., Kolk, H., &amp; Hofstede, B. (2003). Structural properties of syntactically reduced speech: A comparison of normal speakers and Broca's aphasics. </w:t>
      </w:r>
      <w:r w:rsidRPr="003A04C9">
        <w:rPr>
          <w:rFonts w:eastAsiaTheme="majorEastAsia"/>
          <w:i/>
          <w:iCs/>
        </w:rPr>
        <w:t>Brain and Language, 86</w:t>
      </w:r>
      <w:r w:rsidRPr="003A04C9">
        <w:rPr>
          <w:rFonts w:eastAsiaTheme="majorEastAsia"/>
        </w:rPr>
        <w:t>, 99-115</w:t>
      </w:r>
      <w:r>
        <w:rPr>
          <w:rFonts w:eastAsiaTheme="majorEastAsia"/>
        </w:rPr>
        <w:t>. https</w:t>
      </w:r>
      <w:r w:rsidRPr="003A04C9">
        <w:rPr>
          <w:rFonts w:eastAsiaTheme="majorEastAsia"/>
        </w:rPr>
        <w:t>://doi.org/10.1016/S0093-934X(02)00538-2</w:t>
      </w:r>
    </w:p>
    <w:p w14:paraId="7F003C67"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Dell, G. S. (1986). A spreading-activation theory of retrieval in sentence production. Psychological </w:t>
      </w:r>
      <w:r w:rsidRPr="003A04C9">
        <w:rPr>
          <w:rFonts w:eastAsiaTheme="majorEastAsia"/>
          <w:i/>
          <w:iCs/>
        </w:rPr>
        <w:t>Review, 93(3)</w:t>
      </w:r>
      <w:r w:rsidRPr="003A04C9">
        <w:rPr>
          <w:rFonts w:eastAsiaTheme="majorEastAsia"/>
        </w:rPr>
        <w:t>, 283</w:t>
      </w:r>
      <w:r>
        <w:rPr>
          <w:rFonts w:eastAsiaTheme="majorEastAsia"/>
        </w:rPr>
        <w:t>. https</w:t>
      </w:r>
      <w:r w:rsidRPr="003A04C9">
        <w:rPr>
          <w:rFonts w:eastAsiaTheme="majorEastAsia"/>
        </w:rPr>
        <w:t>://doi.org/10.1037/0033-295X.93.3.283</w:t>
      </w:r>
    </w:p>
    <w:p w14:paraId="471A3DF1"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Dell, G. S., &amp; Chang, F. (2014). The P-chain: Relating sentence production and its disorders to comprehension and acquisition. </w:t>
      </w:r>
      <w:r w:rsidRPr="003A04C9">
        <w:rPr>
          <w:rFonts w:eastAsiaTheme="majorEastAsia"/>
          <w:i/>
          <w:iCs/>
        </w:rPr>
        <w:t>Philosophical Transactions of the Royal Society B: Biological Sciences, 369(1634)</w:t>
      </w:r>
      <w:r w:rsidRPr="003A04C9">
        <w:rPr>
          <w:rFonts w:eastAsiaTheme="majorEastAsia"/>
        </w:rPr>
        <w:t>, 20120394</w:t>
      </w:r>
      <w:r>
        <w:rPr>
          <w:rFonts w:eastAsiaTheme="majorEastAsia"/>
        </w:rPr>
        <w:t>. https</w:t>
      </w:r>
      <w:r w:rsidRPr="003A04C9">
        <w:rPr>
          <w:rFonts w:eastAsiaTheme="majorEastAsia"/>
        </w:rPr>
        <w:t>://doi.org/10.1098/rstb.2012.0394</w:t>
      </w:r>
    </w:p>
    <w:p w14:paraId="789F5210"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DeMarco, A. T., &amp; Turkeltaub, P. E. (2018). A multivariate lesion symptom mapping toolbox and examination of lesion-volume biases and correction methods in lesion-symptom mapping. </w:t>
      </w:r>
      <w:r w:rsidRPr="003A04C9">
        <w:rPr>
          <w:rFonts w:eastAsiaTheme="majorEastAsia"/>
          <w:i/>
          <w:iCs/>
        </w:rPr>
        <w:t>Human Brain Mapping, 39(11)</w:t>
      </w:r>
      <w:r w:rsidRPr="003A04C9">
        <w:rPr>
          <w:rFonts w:eastAsiaTheme="majorEastAsia"/>
        </w:rPr>
        <w:t>, 4169-4182</w:t>
      </w:r>
      <w:r>
        <w:rPr>
          <w:rFonts w:eastAsiaTheme="majorEastAsia"/>
        </w:rPr>
        <w:t>. https</w:t>
      </w:r>
      <w:r w:rsidRPr="003A04C9">
        <w:rPr>
          <w:rFonts w:eastAsiaTheme="majorEastAsia"/>
        </w:rPr>
        <w:t>://doi.org/10.1002/hbm.24289</w:t>
      </w:r>
    </w:p>
    <w:p w14:paraId="131C27C7"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den Ouden, D. B., Malyutina, S., Basilakos, A., Bonilha, L., Gleichgerrcht, E., Yourganov, G., ... &amp; Fridriksson, J. (2019). Cortical and structural‐connectivity damage correlated with impaired syntactic processing in aphasia. </w:t>
      </w:r>
      <w:r w:rsidRPr="003A04C9">
        <w:rPr>
          <w:rFonts w:eastAsiaTheme="majorEastAsia"/>
          <w:i/>
          <w:iCs/>
        </w:rPr>
        <w:t>Human Brain Mapping</w:t>
      </w:r>
      <w:r w:rsidRPr="003A04C9">
        <w:rPr>
          <w:rFonts w:eastAsiaTheme="majorEastAsia"/>
        </w:rPr>
        <w:t xml:space="preserve">, </w:t>
      </w:r>
      <w:r w:rsidRPr="003A04C9">
        <w:rPr>
          <w:rFonts w:eastAsiaTheme="majorEastAsia"/>
          <w:i/>
          <w:iCs/>
        </w:rPr>
        <w:t>40(7)</w:t>
      </w:r>
      <w:r w:rsidRPr="003A04C9">
        <w:rPr>
          <w:rFonts w:eastAsiaTheme="majorEastAsia"/>
        </w:rPr>
        <w:t>, 2153-2173</w:t>
      </w:r>
      <w:r>
        <w:rPr>
          <w:rFonts w:eastAsiaTheme="majorEastAsia"/>
        </w:rPr>
        <w:t>. https</w:t>
      </w:r>
      <w:r w:rsidRPr="003A04C9">
        <w:rPr>
          <w:rFonts w:eastAsiaTheme="majorEastAsia"/>
        </w:rPr>
        <w:t>://doi.org/10.1002/hbm.24514</w:t>
      </w:r>
    </w:p>
    <w:p w14:paraId="3A2EA96D"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Desikan, R. S., Ségonne, F., Fischl, B., Quinn, B. T., Dickerson, B. C., Blacker, D., ... Albert, M. S. (2006). An automated labeling system for subdividing the human cerebral cortex on MRI scans </w:t>
      </w:r>
      <w:r w:rsidRPr="003A04C9">
        <w:rPr>
          <w:rFonts w:eastAsiaTheme="majorEastAsia"/>
        </w:rPr>
        <w:lastRenderedPageBreak/>
        <w:t>into gyral based regions of interest. Neuroimage, 31 (3), 968-980</w:t>
      </w:r>
      <w:r>
        <w:rPr>
          <w:rFonts w:eastAsiaTheme="majorEastAsia"/>
        </w:rPr>
        <w:t>. https</w:t>
      </w:r>
      <w:r w:rsidRPr="003A04C9">
        <w:rPr>
          <w:rFonts w:eastAsiaTheme="majorEastAsia"/>
        </w:rPr>
        <w:t>://doi.org/10.1016/j.neuroimage.2006.01.021</w:t>
      </w:r>
    </w:p>
    <w:p w14:paraId="2B2693EA"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Ding, J., Martin, R. C., Hamilton, A. C., &amp; Schnur, T. T. (2020). Dissociation between frontal and temporal-parietal contributions to connected speech in acute stroke. </w:t>
      </w:r>
      <w:r w:rsidRPr="003A04C9">
        <w:rPr>
          <w:rFonts w:eastAsiaTheme="majorEastAsia"/>
          <w:i/>
          <w:iCs/>
        </w:rPr>
        <w:t>Brain, 143(3</w:t>
      </w:r>
      <w:r w:rsidRPr="003A04C9">
        <w:rPr>
          <w:rFonts w:eastAsiaTheme="majorEastAsia"/>
        </w:rPr>
        <w:t>), 862-876</w:t>
      </w:r>
      <w:r>
        <w:rPr>
          <w:rFonts w:eastAsiaTheme="majorEastAsia"/>
        </w:rPr>
        <w:t>. https</w:t>
      </w:r>
      <w:r w:rsidRPr="003A04C9">
        <w:rPr>
          <w:rFonts w:eastAsiaTheme="majorEastAsia"/>
        </w:rPr>
        <w:t>://doi.org/10.1093/brain/awaa027</w:t>
      </w:r>
    </w:p>
    <w:p w14:paraId="02053F45" w14:textId="77777777" w:rsidR="00091DAC" w:rsidRDefault="00091DAC" w:rsidP="00091DAC">
      <w:pPr>
        <w:spacing w:before="120" w:after="120" w:line="360" w:lineRule="auto"/>
        <w:ind w:left="426" w:hanging="426"/>
        <w:rPr>
          <w:rFonts w:eastAsiaTheme="majorEastAsia"/>
        </w:rPr>
      </w:pPr>
      <w:r w:rsidRPr="003A04C9">
        <w:rPr>
          <w:rFonts w:eastAsiaTheme="majorEastAsia"/>
        </w:rPr>
        <w:t>Druks, J., &amp; Masterson, J. (2000). An object and action naming battery. Hove: Psychology Press.</w:t>
      </w:r>
    </w:p>
    <w:p w14:paraId="1E58E394"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Dunn, L. M., &amp; Dunn, L. M. (1997). </w:t>
      </w:r>
      <w:r w:rsidRPr="003A04C9">
        <w:rPr>
          <w:rFonts w:eastAsiaTheme="majorEastAsia"/>
          <w:i/>
          <w:iCs/>
        </w:rPr>
        <w:t>The Peabody Picture Vocabulary Test</w:t>
      </w:r>
      <w:r w:rsidRPr="003A04C9">
        <w:rPr>
          <w:rFonts w:eastAsiaTheme="majorEastAsia"/>
        </w:rPr>
        <w:t xml:space="preserve"> (3rd edition). Pearson</w:t>
      </w:r>
      <w:r>
        <w:rPr>
          <w:rFonts w:eastAsiaTheme="majorEastAsia"/>
        </w:rPr>
        <w:t>. https</w:t>
      </w:r>
      <w:r w:rsidRPr="003A04C9">
        <w:rPr>
          <w:rFonts w:eastAsiaTheme="majorEastAsia"/>
        </w:rPr>
        <w:t>://doi.org/10.1037/t15145-000</w:t>
      </w:r>
    </w:p>
    <w:p w14:paraId="531F705F"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Faroqi-Shah, Y., Kling, T., Solomon, J., Liu, S., Park, G., &amp; Braun, A. (2014). Lesion analysis of language production deficits in aphasia. </w:t>
      </w:r>
      <w:r w:rsidRPr="003A04C9">
        <w:rPr>
          <w:rFonts w:eastAsiaTheme="majorEastAsia"/>
          <w:i/>
          <w:iCs/>
        </w:rPr>
        <w:t>Aphasiology, 28(3)</w:t>
      </w:r>
      <w:r w:rsidRPr="003A04C9">
        <w:rPr>
          <w:rFonts w:eastAsiaTheme="majorEastAsia"/>
        </w:rPr>
        <w:t>, 258-277</w:t>
      </w:r>
      <w:r>
        <w:rPr>
          <w:rFonts w:eastAsiaTheme="majorEastAsia"/>
        </w:rPr>
        <w:t>. https</w:t>
      </w:r>
      <w:r w:rsidRPr="003A04C9">
        <w:rPr>
          <w:rFonts w:eastAsiaTheme="majorEastAsia"/>
        </w:rPr>
        <w:t>://doi.org/10.1080/02687038.2013.853023</w:t>
      </w:r>
    </w:p>
    <w:p w14:paraId="7826C18D"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Ferreira, V. S., &amp; Slevc, L. R. (2007). Grammatical encoding. In G. Gaskell (Ed.), </w:t>
      </w:r>
      <w:r w:rsidRPr="003A04C9">
        <w:rPr>
          <w:rFonts w:eastAsiaTheme="majorEastAsia"/>
          <w:i/>
          <w:iCs/>
        </w:rPr>
        <w:t>Oxford Handbook of Psycholinguistics</w:t>
      </w:r>
      <w:r w:rsidRPr="003A04C9">
        <w:rPr>
          <w:rFonts w:eastAsiaTheme="majorEastAsia"/>
        </w:rPr>
        <w:t xml:space="preserve"> (pp. 453-469). Oxford, UK: OUPhttps://doi.org/10.1093/oxfordhb/9780198568971.013.0027</w:t>
      </w:r>
    </w:p>
    <w:p w14:paraId="01DC44A6"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Freedman, M. L., Martin, R. C., &amp; Biegler, K. (2004). Semantic relatedness effects in conjoined noun phrase production: Implications for the role of short-term memory. </w:t>
      </w:r>
      <w:r w:rsidRPr="003A04C9">
        <w:rPr>
          <w:rFonts w:eastAsiaTheme="majorEastAsia"/>
          <w:i/>
          <w:iCs/>
        </w:rPr>
        <w:t>Cognitive Neuropsychology, 21</w:t>
      </w:r>
      <w:r w:rsidRPr="003A04C9">
        <w:rPr>
          <w:rFonts w:eastAsiaTheme="majorEastAsia"/>
        </w:rPr>
        <w:t>, 245-265https://doi.org/10.1080/02643290342000528</w:t>
      </w:r>
    </w:p>
    <w:p w14:paraId="7A4242AF"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Fuster, J. M. (2001). The prefrontal cortex-an update: time is of the essence. </w:t>
      </w:r>
      <w:r w:rsidRPr="003A04C9">
        <w:rPr>
          <w:rFonts w:eastAsiaTheme="majorEastAsia"/>
          <w:i/>
          <w:iCs/>
        </w:rPr>
        <w:t>Neuron, 30(2)</w:t>
      </w:r>
      <w:r w:rsidRPr="003A04C9">
        <w:rPr>
          <w:rFonts w:eastAsiaTheme="majorEastAsia"/>
        </w:rPr>
        <w:t>, 319-333</w:t>
      </w:r>
      <w:r>
        <w:rPr>
          <w:rFonts w:eastAsiaTheme="majorEastAsia"/>
        </w:rPr>
        <w:t>. https</w:t>
      </w:r>
      <w:r w:rsidRPr="003A04C9">
        <w:rPr>
          <w:rFonts w:eastAsiaTheme="majorEastAsia"/>
        </w:rPr>
        <w:t>://doi.org/10.1016/S0896-6273(01)00285-9</w:t>
      </w:r>
    </w:p>
    <w:p w14:paraId="5B051E20"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Garrett, M. F. (1976). Syntactic processes in sentence production. In R. J. Wales &amp; E. C. T. Walker (Eds.), </w:t>
      </w:r>
      <w:r w:rsidRPr="003A04C9">
        <w:rPr>
          <w:rFonts w:eastAsiaTheme="majorEastAsia"/>
          <w:i/>
          <w:iCs/>
        </w:rPr>
        <w:t xml:space="preserve">New approaches to language mechanisms </w:t>
      </w:r>
      <w:r w:rsidRPr="003A04C9">
        <w:rPr>
          <w:rFonts w:eastAsiaTheme="majorEastAsia"/>
        </w:rPr>
        <w:t>(pp. 231-256). North-Holland.</w:t>
      </w:r>
    </w:p>
    <w:p w14:paraId="6E61876A"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Gläscher, J., Adolphs, R., Damasio, H., Bechara, A., Rudrauf, D., Calamia, M., ... &amp; Tranel, D. (2012). Lesion mapping of cognitive control and value-based decision making in the prefrontal cortex. </w:t>
      </w:r>
      <w:r w:rsidRPr="003A04C9">
        <w:rPr>
          <w:rFonts w:eastAsiaTheme="majorEastAsia"/>
          <w:i/>
          <w:iCs/>
        </w:rPr>
        <w:t>Proceedings of the National Academy of Sciences, 109(36),</w:t>
      </w:r>
      <w:r w:rsidRPr="003A04C9">
        <w:rPr>
          <w:rFonts w:eastAsiaTheme="majorEastAsia"/>
        </w:rPr>
        <w:t xml:space="preserve"> 14681-14686</w:t>
      </w:r>
      <w:r>
        <w:rPr>
          <w:rFonts w:eastAsiaTheme="majorEastAsia"/>
        </w:rPr>
        <w:t>. https</w:t>
      </w:r>
      <w:r w:rsidRPr="003A04C9">
        <w:rPr>
          <w:rFonts w:eastAsiaTheme="majorEastAsia"/>
        </w:rPr>
        <w:t>://doi.org/10.1073/pnas.1206608109</w:t>
      </w:r>
    </w:p>
    <w:p w14:paraId="4CD3B783" w14:textId="77777777" w:rsidR="003E3E63" w:rsidRPr="003E3E63" w:rsidRDefault="00776495" w:rsidP="003E3E63">
      <w:pPr>
        <w:spacing w:before="120" w:after="120" w:line="360" w:lineRule="auto"/>
        <w:ind w:left="426" w:hanging="426"/>
        <w:rPr>
          <w:rFonts w:eastAsiaTheme="majorEastAsia"/>
        </w:rPr>
      </w:pPr>
      <w:proofErr w:type="spellStart"/>
      <w:r w:rsidRPr="00776495">
        <w:rPr>
          <w:rFonts w:eastAsiaTheme="majorEastAsia"/>
        </w:rPr>
        <w:t>Goldmann</w:t>
      </w:r>
      <w:proofErr w:type="spellEnd"/>
      <w:r w:rsidRPr="00776495">
        <w:rPr>
          <w:rFonts w:eastAsiaTheme="majorEastAsia"/>
        </w:rPr>
        <w:t xml:space="preserve">, R. E., Schwartz, M. F., &amp; Wilshire, C. E. (2001). The influence of phonological context on the sound errors of a speaker with Wernicke's aphasia. </w:t>
      </w:r>
      <w:r w:rsidRPr="00776495">
        <w:rPr>
          <w:rFonts w:eastAsiaTheme="majorEastAsia"/>
          <w:i/>
          <w:iCs/>
        </w:rPr>
        <w:t>Brain and Language, 78(3)</w:t>
      </w:r>
      <w:r w:rsidRPr="00776495">
        <w:rPr>
          <w:rFonts w:eastAsiaTheme="majorEastAsia"/>
        </w:rPr>
        <w:t>, 279-307.</w:t>
      </w:r>
      <w:r w:rsidR="003E3E63">
        <w:rPr>
          <w:rFonts w:eastAsiaTheme="majorEastAsia"/>
        </w:rPr>
        <w:t xml:space="preserve"> </w:t>
      </w:r>
      <w:r w:rsidR="003E3E63" w:rsidRPr="003E3E63">
        <w:rPr>
          <w:rFonts w:eastAsiaTheme="majorEastAsia"/>
        </w:rPr>
        <w:t>https://doi.org/10.1006/brln.2001.2468</w:t>
      </w:r>
    </w:p>
    <w:p w14:paraId="2E94ECE3" w14:textId="01A9F43C" w:rsidR="00091DAC" w:rsidRDefault="00091DAC" w:rsidP="00091DAC">
      <w:pPr>
        <w:spacing w:before="120" w:after="120" w:line="360" w:lineRule="auto"/>
        <w:ind w:left="426" w:hanging="426"/>
        <w:rPr>
          <w:rFonts w:eastAsiaTheme="majorEastAsia"/>
        </w:rPr>
      </w:pPr>
      <w:r w:rsidRPr="003A04C9">
        <w:rPr>
          <w:rFonts w:eastAsiaTheme="majorEastAsia"/>
        </w:rPr>
        <w:t xml:space="preserve">Goodglass, H., Kaplan, E., Barresi, B. (2001). </w:t>
      </w:r>
      <w:r w:rsidRPr="003A04C9">
        <w:rPr>
          <w:rFonts w:eastAsiaTheme="majorEastAsia"/>
          <w:i/>
          <w:iCs/>
        </w:rPr>
        <w:t xml:space="preserve">The Boston Diagnostic Aphasia Examination </w:t>
      </w:r>
      <w:r w:rsidRPr="003A04C9">
        <w:rPr>
          <w:rFonts w:eastAsiaTheme="majorEastAsia"/>
        </w:rPr>
        <w:t>(Third ed). Lippincott Williams &amp; Wilkins</w:t>
      </w:r>
    </w:p>
    <w:p w14:paraId="22509237" w14:textId="77777777" w:rsidR="00091DAC" w:rsidRDefault="00091DAC" w:rsidP="00091DAC">
      <w:pPr>
        <w:spacing w:before="120" w:after="120" w:line="360" w:lineRule="auto"/>
        <w:ind w:left="426" w:hanging="426"/>
        <w:rPr>
          <w:rFonts w:eastAsiaTheme="majorEastAsia"/>
        </w:rPr>
      </w:pPr>
      <w:r w:rsidRPr="003A04C9">
        <w:rPr>
          <w:rFonts w:eastAsiaTheme="majorEastAsia"/>
        </w:rPr>
        <w:lastRenderedPageBreak/>
        <w:t>Halai, A. D., Woollams, A. M., &amp; Ralph, M. A. L. (2017). Using principal component analysis to capture individual differences within a unified neuropsychological model of chronic post-stroke aphasia: Revealing the unique neural correlates of speech fluency, phonology and semantics.</w:t>
      </w:r>
      <w:r w:rsidRPr="003A04C9">
        <w:rPr>
          <w:rFonts w:eastAsiaTheme="majorEastAsia"/>
          <w:i/>
          <w:iCs/>
        </w:rPr>
        <w:t xml:space="preserve"> Cortex, 86</w:t>
      </w:r>
      <w:r w:rsidRPr="003A04C9">
        <w:rPr>
          <w:rFonts w:eastAsiaTheme="majorEastAsia"/>
        </w:rPr>
        <w:t>, 275-289</w:t>
      </w:r>
      <w:r>
        <w:rPr>
          <w:rFonts w:eastAsiaTheme="majorEastAsia"/>
        </w:rPr>
        <w:t>. https</w:t>
      </w:r>
      <w:r w:rsidRPr="003A04C9">
        <w:rPr>
          <w:rFonts w:eastAsiaTheme="majorEastAsia"/>
        </w:rPr>
        <w:t>://doi.org/10.1016/j.cortex.2016.04.016</w:t>
      </w:r>
    </w:p>
    <w:p w14:paraId="080601FB" w14:textId="77777777" w:rsidR="00091DAC" w:rsidRDefault="00091DAC" w:rsidP="00091DAC">
      <w:pPr>
        <w:spacing w:before="120" w:after="120" w:line="360" w:lineRule="auto"/>
        <w:ind w:left="426" w:hanging="426"/>
        <w:rPr>
          <w:rFonts w:eastAsiaTheme="majorEastAsia"/>
        </w:rPr>
      </w:pPr>
      <w:r w:rsidRPr="003A04C9">
        <w:rPr>
          <w:rFonts w:eastAsiaTheme="majorEastAsia"/>
        </w:rPr>
        <w:t>Halai, A. D., Woollams, A. M., &amp; Ralph, M. A. L. (2018). Triangulation of language-cognitive impairments, naming errors and their neural bases post-stroke.</w:t>
      </w:r>
      <w:r w:rsidRPr="003A04C9">
        <w:rPr>
          <w:rFonts w:eastAsiaTheme="majorEastAsia"/>
          <w:i/>
          <w:iCs/>
        </w:rPr>
        <w:t xml:space="preserve"> NeuroImage: Clinical, 17,</w:t>
      </w:r>
      <w:r w:rsidRPr="003A04C9">
        <w:rPr>
          <w:rFonts w:eastAsiaTheme="majorEastAsia"/>
        </w:rPr>
        <w:t xml:space="preserve"> 465-473</w:t>
      </w:r>
      <w:r>
        <w:rPr>
          <w:rFonts w:eastAsiaTheme="majorEastAsia"/>
        </w:rPr>
        <w:t>. https</w:t>
      </w:r>
      <w:r w:rsidRPr="003A04C9">
        <w:rPr>
          <w:rFonts w:eastAsiaTheme="majorEastAsia"/>
        </w:rPr>
        <w:t>://doi.org/10.1016/j.nicl.2017.10.037</w:t>
      </w:r>
    </w:p>
    <w:p w14:paraId="69869DEC" w14:textId="77777777" w:rsidR="00091DAC" w:rsidRDefault="00091DAC" w:rsidP="00091DAC">
      <w:pPr>
        <w:spacing w:before="120" w:after="120" w:line="360" w:lineRule="auto"/>
        <w:ind w:left="426" w:hanging="426"/>
        <w:rPr>
          <w:rFonts w:eastAsiaTheme="majorEastAsia"/>
        </w:rPr>
      </w:pPr>
      <w:r w:rsidRPr="003A04C9">
        <w:rPr>
          <w:rFonts w:eastAsiaTheme="majorEastAsia"/>
        </w:rPr>
        <w:t>Hartsuiker, R. J., &amp; Kolk, H. H. J. (1998). Syntactic facilitation in agrammatic sentence production. Brain and Language, 62, 221 - 254</w:t>
      </w:r>
      <w:r>
        <w:rPr>
          <w:rFonts w:eastAsiaTheme="majorEastAsia"/>
        </w:rPr>
        <w:t>. https</w:t>
      </w:r>
      <w:r w:rsidRPr="003A04C9">
        <w:rPr>
          <w:rFonts w:eastAsiaTheme="majorEastAsia"/>
        </w:rPr>
        <w:t>://doi.org/10.1006/brln.1997.1905</w:t>
      </w:r>
    </w:p>
    <w:p w14:paraId="6C655939"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Henseler, I., Regenbrecht, F., &amp; Obrig, H. (2014). Lesion correlates of patholinguistic profiles in chronic aphasia: Comparisons of syndrome-, modality-and symptom-level assessment. </w:t>
      </w:r>
      <w:r w:rsidRPr="003A04C9">
        <w:rPr>
          <w:rFonts w:eastAsiaTheme="majorEastAsia"/>
          <w:i/>
          <w:iCs/>
        </w:rPr>
        <w:t>Brain, 137, 918-930</w:t>
      </w:r>
      <w:r>
        <w:rPr>
          <w:rFonts w:eastAsiaTheme="majorEastAsia"/>
        </w:rPr>
        <w:t>. https</w:t>
      </w:r>
      <w:r w:rsidRPr="003A04C9">
        <w:rPr>
          <w:rFonts w:eastAsiaTheme="majorEastAsia"/>
        </w:rPr>
        <w:t>://doi.org/10.1093/brain/awt374</w:t>
      </w:r>
    </w:p>
    <w:p w14:paraId="071CCE88"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Howard, D., Nickels, L., Coltheart, M., &amp; Cole-Virtue, J. (2006). Cumulative semantic inhibition in picture naming: Experimental and computational studies. </w:t>
      </w:r>
      <w:r w:rsidRPr="003A04C9">
        <w:rPr>
          <w:rFonts w:eastAsiaTheme="majorEastAsia"/>
          <w:i/>
          <w:iCs/>
        </w:rPr>
        <w:t>Cognition, 100(3)</w:t>
      </w:r>
      <w:r w:rsidRPr="003A04C9">
        <w:rPr>
          <w:rFonts w:eastAsiaTheme="majorEastAsia"/>
        </w:rPr>
        <w:t>, 464-482</w:t>
      </w:r>
      <w:r>
        <w:rPr>
          <w:rFonts w:eastAsiaTheme="majorEastAsia"/>
        </w:rPr>
        <w:t>. https</w:t>
      </w:r>
      <w:r w:rsidRPr="003A04C9">
        <w:rPr>
          <w:rFonts w:eastAsiaTheme="majorEastAsia"/>
        </w:rPr>
        <w:t>://doi.org/10.1016/j.cognition.2005.02.006</w:t>
      </w:r>
    </w:p>
    <w:p w14:paraId="772BDD64"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Hsiao, E. Y., Schwartz, M. F., Schnur, T. T., &amp; Dell, G. S. (2009). Temporal characteristics of semantic perseverations induced by blocked-cyclic picture naming. </w:t>
      </w:r>
      <w:r w:rsidRPr="003A04C9">
        <w:rPr>
          <w:rFonts w:eastAsiaTheme="majorEastAsia"/>
          <w:i/>
          <w:iCs/>
        </w:rPr>
        <w:t xml:space="preserve">Brain and Language, 108, </w:t>
      </w:r>
      <w:r w:rsidRPr="003A04C9">
        <w:rPr>
          <w:rFonts w:eastAsiaTheme="majorEastAsia"/>
        </w:rPr>
        <w:t>133-144</w:t>
      </w:r>
      <w:r>
        <w:rPr>
          <w:rFonts w:eastAsiaTheme="majorEastAsia"/>
        </w:rPr>
        <w:t>. https</w:t>
      </w:r>
      <w:r w:rsidRPr="003A04C9">
        <w:rPr>
          <w:rFonts w:eastAsiaTheme="majorEastAsia"/>
        </w:rPr>
        <w:t>://doi.org/10.1016/j.bandl.2008.11.003</w:t>
      </w:r>
    </w:p>
    <w:p w14:paraId="68D9490D"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Itabashi, R., Nishio, Y., Kataoka, Y., Yazawa, Y., Furui, E., Matsuda, M., &amp; Mori, E. (2016). Damage to the left precentral gyrus is associated with apraxia of speech in acute stroke. </w:t>
      </w:r>
      <w:r w:rsidRPr="003A04C9">
        <w:rPr>
          <w:rFonts w:eastAsiaTheme="majorEastAsia"/>
          <w:i/>
          <w:iCs/>
        </w:rPr>
        <w:t>Stroke, 47</w:t>
      </w:r>
      <w:r w:rsidRPr="003A04C9">
        <w:rPr>
          <w:rFonts w:eastAsiaTheme="majorEastAsia"/>
        </w:rPr>
        <w:t>, 31-36</w:t>
      </w:r>
      <w:r>
        <w:rPr>
          <w:rFonts w:eastAsiaTheme="majorEastAsia"/>
        </w:rPr>
        <w:t>. https</w:t>
      </w:r>
      <w:r w:rsidRPr="003A04C9">
        <w:rPr>
          <w:rFonts w:eastAsiaTheme="majorEastAsia"/>
        </w:rPr>
        <w:t>://doi.org/10.1161/STROKEAHA.115.010402</w:t>
      </w:r>
    </w:p>
    <w:p w14:paraId="72D45E26" w14:textId="77777777" w:rsidR="00091DAC" w:rsidRDefault="00091DAC" w:rsidP="00091DAC">
      <w:pPr>
        <w:spacing w:before="120" w:after="120" w:line="360" w:lineRule="auto"/>
        <w:ind w:left="426" w:hanging="426"/>
        <w:rPr>
          <w:rFonts w:eastAsiaTheme="majorEastAsia"/>
        </w:rPr>
      </w:pPr>
      <w:r w:rsidRPr="003A04C9">
        <w:rPr>
          <w:rFonts w:eastAsiaTheme="majorEastAsia"/>
        </w:rPr>
        <w:t>Jackendoff, R. (2002).</w:t>
      </w:r>
      <w:r w:rsidRPr="003A04C9">
        <w:rPr>
          <w:rFonts w:eastAsiaTheme="majorEastAsia"/>
          <w:i/>
          <w:iCs/>
        </w:rPr>
        <w:t xml:space="preserve"> Foundations of language: Brain, meaning, grammar, evolution</w:t>
      </w:r>
      <w:r w:rsidRPr="003A04C9">
        <w:rPr>
          <w:rFonts w:eastAsiaTheme="majorEastAsia"/>
        </w:rPr>
        <w:t>. Oxford University Press,</w:t>
      </w:r>
    </w:p>
    <w:p w14:paraId="582CBD42"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Kay, J., Lesser, R., &amp; Coltheart, M. (1992). PALPA: </w:t>
      </w:r>
      <w:r w:rsidRPr="003A04C9">
        <w:rPr>
          <w:rFonts w:eastAsiaTheme="majorEastAsia"/>
          <w:i/>
          <w:iCs/>
        </w:rPr>
        <w:t>Psycholinguistic assessments of language processing in aphasia</w:t>
      </w:r>
      <w:r w:rsidRPr="003A04C9">
        <w:rPr>
          <w:rFonts w:eastAsiaTheme="majorEastAsia"/>
        </w:rPr>
        <w:t>. Hove: Psychology Press.</w:t>
      </w:r>
    </w:p>
    <w:p w14:paraId="476564B8"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Kolk, H. H. J. (1995). A time-based approach to agrammatic production. </w:t>
      </w:r>
      <w:r w:rsidRPr="003A04C9">
        <w:rPr>
          <w:rFonts w:eastAsiaTheme="majorEastAsia"/>
          <w:i/>
          <w:iCs/>
        </w:rPr>
        <w:t xml:space="preserve">Brain and Language, 50, </w:t>
      </w:r>
      <w:r w:rsidRPr="003A04C9">
        <w:rPr>
          <w:rFonts w:eastAsiaTheme="majorEastAsia"/>
        </w:rPr>
        <w:t>282-303</w:t>
      </w:r>
      <w:r>
        <w:rPr>
          <w:rFonts w:eastAsiaTheme="majorEastAsia"/>
        </w:rPr>
        <w:t>. https</w:t>
      </w:r>
      <w:r w:rsidRPr="003A04C9">
        <w:rPr>
          <w:rFonts w:eastAsiaTheme="majorEastAsia"/>
        </w:rPr>
        <w:t>://doi.org/10.1006/brln.1995.1049</w:t>
      </w:r>
    </w:p>
    <w:p w14:paraId="17D5B539" w14:textId="77777777" w:rsidR="00091DAC" w:rsidRDefault="00091DAC" w:rsidP="00091DAC">
      <w:pPr>
        <w:spacing w:before="120" w:after="120" w:line="360" w:lineRule="auto"/>
        <w:ind w:left="426" w:hanging="426"/>
        <w:rPr>
          <w:rFonts w:eastAsiaTheme="majorEastAsia"/>
        </w:rPr>
      </w:pPr>
      <w:r w:rsidRPr="003A04C9">
        <w:rPr>
          <w:rFonts w:eastAsiaTheme="majorEastAsia"/>
        </w:rPr>
        <w:t>Kolk, H. H. J. (2006). How language adapts to the brain: An analysis of agrammatic aphasia. In L. Progovac (Ed.),</w:t>
      </w:r>
      <w:r w:rsidRPr="003A04C9">
        <w:rPr>
          <w:rFonts w:eastAsiaTheme="majorEastAsia"/>
          <w:i/>
          <w:iCs/>
        </w:rPr>
        <w:t xml:space="preserve"> The syntax of nonsententials: Multi-disciplinary perspectives</w:t>
      </w:r>
      <w:r w:rsidRPr="003A04C9">
        <w:rPr>
          <w:rFonts w:eastAsiaTheme="majorEastAsia"/>
        </w:rPr>
        <w:t xml:space="preserve"> (pp. 229 - 258). London: John Benjamins</w:t>
      </w:r>
      <w:r>
        <w:rPr>
          <w:rFonts w:eastAsiaTheme="majorEastAsia"/>
        </w:rPr>
        <w:t>. https</w:t>
      </w:r>
      <w:r w:rsidRPr="003A04C9">
        <w:rPr>
          <w:rFonts w:eastAsiaTheme="majorEastAsia"/>
        </w:rPr>
        <w:t>://doi.org/10.1075/la.93.11kol</w:t>
      </w:r>
    </w:p>
    <w:p w14:paraId="7C95FF08" w14:textId="77777777" w:rsidR="00091DAC" w:rsidRDefault="00091DAC" w:rsidP="00091DAC">
      <w:pPr>
        <w:spacing w:before="120" w:after="120" w:line="360" w:lineRule="auto"/>
        <w:ind w:left="426" w:hanging="426"/>
        <w:rPr>
          <w:rFonts w:eastAsiaTheme="majorEastAsia"/>
        </w:rPr>
      </w:pPr>
      <w:r w:rsidRPr="003A04C9">
        <w:rPr>
          <w:rFonts w:eastAsiaTheme="majorEastAsia"/>
        </w:rPr>
        <w:lastRenderedPageBreak/>
        <w:t xml:space="preserve">Kolk, H. H. J., &amp; Van Grunsven, M. M. F. (1985). Agrammatism as a variable phenomenon. </w:t>
      </w:r>
      <w:r w:rsidRPr="003A04C9">
        <w:rPr>
          <w:rFonts w:eastAsiaTheme="majorEastAsia"/>
          <w:i/>
          <w:iCs/>
        </w:rPr>
        <w:t>Cognitive Neuropsychology, 2</w:t>
      </w:r>
      <w:r w:rsidRPr="003A04C9">
        <w:rPr>
          <w:rFonts w:eastAsiaTheme="majorEastAsia"/>
        </w:rPr>
        <w:t>, 347 - 384</w:t>
      </w:r>
      <w:r>
        <w:rPr>
          <w:rFonts w:eastAsiaTheme="majorEastAsia"/>
        </w:rPr>
        <w:t>. https</w:t>
      </w:r>
      <w:r w:rsidRPr="003A04C9">
        <w:rPr>
          <w:rFonts w:eastAsiaTheme="majorEastAsia"/>
        </w:rPr>
        <w:t>://doi.org/10.1080/02643298508252666</w:t>
      </w:r>
    </w:p>
    <w:p w14:paraId="5783C7FE"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Kroll, J. F., &amp; Stewart, E. (1994). Category interference in translation and picture naming: Evidence for asymmetric connections between bilingual memory representations. </w:t>
      </w:r>
      <w:r w:rsidRPr="003A04C9">
        <w:rPr>
          <w:rFonts w:eastAsiaTheme="majorEastAsia"/>
          <w:i/>
          <w:iCs/>
        </w:rPr>
        <w:t>Journal of Memory and Language, 33(2)</w:t>
      </w:r>
      <w:r w:rsidRPr="003A04C9">
        <w:rPr>
          <w:rFonts w:eastAsiaTheme="majorEastAsia"/>
        </w:rPr>
        <w:t>, 149</w:t>
      </w:r>
      <w:r>
        <w:rPr>
          <w:rFonts w:eastAsiaTheme="majorEastAsia"/>
        </w:rPr>
        <w:t>. https</w:t>
      </w:r>
      <w:r w:rsidRPr="003A04C9">
        <w:rPr>
          <w:rFonts w:eastAsiaTheme="majorEastAsia"/>
        </w:rPr>
        <w:t>://doi.org/10.1006/jmla.1994.1008</w:t>
      </w:r>
    </w:p>
    <w:p w14:paraId="759C4F1C"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Lacey, E. H., Skipper-Kallal, L. M., Xing, S., Fama, M. E., &amp; Turkeltaub, P. E. (2017). Mapping common aphasia assessments to underlying cognitive processes and their neural substrates. </w:t>
      </w:r>
      <w:r w:rsidRPr="003A04C9">
        <w:rPr>
          <w:rFonts w:eastAsiaTheme="majorEastAsia"/>
          <w:i/>
          <w:iCs/>
        </w:rPr>
        <w:t>Neurorehabilitation and Neural Repair, 31(5)</w:t>
      </w:r>
      <w:r w:rsidRPr="003A04C9">
        <w:rPr>
          <w:rFonts w:eastAsiaTheme="majorEastAsia"/>
        </w:rPr>
        <w:t>, 442-450</w:t>
      </w:r>
      <w:r>
        <w:rPr>
          <w:rFonts w:eastAsiaTheme="majorEastAsia"/>
        </w:rPr>
        <w:t>. https</w:t>
      </w:r>
      <w:r w:rsidRPr="003A04C9">
        <w:rPr>
          <w:rFonts w:eastAsiaTheme="majorEastAsia"/>
        </w:rPr>
        <w:t>://doi.org/10.1177/1545968316688797</w:t>
      </w:r>
    </w:p>
    <w:p w14:paraId="0893DE56"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Levelt, W. J. M., Roelofs, A., &amp; Meyer, A. S. (1999). A theory of lexical access in speech production. </w:t>
      </w:r>
      <w:r w:rsidRPr="003A04C9">
        <w:rPr>
          <w:rFonts w:eastAsiaTheme="majorEastAsia"/>
          <w:i/>
          <w:iCs/>
        </w:rPr>
        <w:t>Behavioral and Brain Sciences, 22(1)</w:t>
      </w:r>
      <w:r w:rsidRPr="003A04C9">
        <w:rPr>
          <w:rFonts w:eastAsiaTheme="majorEastAsia"/>
        </w:rPr>
        <w:t>, 1-75</w:t>
      </w:r>
      <w:r>
        <w:rPr>
          <w:rFonts w:eastAsiaTheme="majorEastAsia"/>
        </w:rPr>
        <w:t>. https</w:t>
      </w:r>
      <w:r w:rsidRPr="003A04C9">
        <w:rPr>
          <w:rFonts w:eastAsiaTheme="majorEastAsia"/>
        </w:rPr>
        <w:t>://doi.org/10.1017/S0140525X99001776</w:t>
      </w:r>
    </w:p>
    <w:p w14:paraId="2BC531C8"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Martin, R. C., &amp; Romani, C. (1994). Verbal working memory and sentence comprehension: A multiple-components view. </w:t>
      </w:r>
      <w:r w:rsidRPr="003A04C9">
        <w:rPr>
          <w:rFonts w:eastAsiaTheme="majorEastAsia"/>
          <w:i/>
          <w:iCs/>
        </w:rPr>
        <w:t>Neuropsychology, 8</w:t>
      </w:r>
      <w:r w:rsidRPr="003A04C9">
        <w:rPr>
          <w:rFonts w:eastAsiaTheme="majorEastAsia"/>
        </w:rPr>
        <w:t>, 506 - 523</w:t>
      </w:r>
      <w:r>
        <w:rPr>
          <w:rFonts w:eastAsiaTheme="majorEastAsia"/>
        </w:rPr>
        <w:t>. https</w:t>
      </w:r>
      <w:r w:rsidRPr="003A04C9">
        <w:rPr>
          <w:rFonts w:eastAsiaTheme="majorEastAsia"/>
        </w:rPr>
        <w:t>://doi.org/10.1037/0894-4105.8.4.506</w:t>
      </w:r>
    </w:p>
    <w:p w14:paraId="47138366" w14:textId="77777777" w:rsidR="00091DAC" w:rsidRDefault="00091DAC" w:rsidP="00091DAC">
      <w:pPr>
        <w:spacing w:before="120" w:after="120" w:line="360" w:lineRule="auto"/>
        <w:ind w:left="426" w:hanging="426"/>
        <w:rPr>
          <w:rFonts w:eastAsiaTheme="majorEastAsia"/>
        </w:rPr>
      </w:pPr>
      <w:r w:rsidRPr="003A04C9">
        <w:rPr>
          <w:rFonts w:eastAsiaTheme="majorEastAsia"/>
        </w:rPr>
        <w:t>Martin, R. C., Lesch, M., &amp; Bartha, M. (1999). Independence of input and output phonology in word processing and short-term memory.</w:t>
      </w:r>
      <w:r w:rsidRPr="003A04C9">
        <w:rPr>
          <w:rFonts w:eastAsiaTheme="majorEastAsia"/>
          <w:i/>
          <w:iCs/>
        </w:rPr>
        <w:t xml:space="preserve"> Journal of Memory and Language, 41</w:t>
      </w:r>
      <w:r w:rsidRPr="003A04C9">
        <w:rPr>
          <w:rFonts w:eastAsiaTheme="majorEastAsia"/>
        </w:rPr>
        <w:t>, 3 - 29</w:t>
      </w:r>
      <w:r>
        <w:rPr>
          <w:rFonts w:eastAsiaTheme="majorEastAsia"/>
        </w:rPr>
        <w:t>. https</w:t>
      </w:r>
      <w:r w:rsidRPr="003A04C9">
        <w:rPr>
          <w:rFonts w:eastAsiaTheme="majorEastAsia"/>
        </w:rPr>
        <w:t>://doi.org/10.1006/jmla.1999.2637</w:t>
      </w:r>
    </w:p>
    <w:p w14:paraId="52A4AD4E"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Martin, R. C., Miller, M., &amp; Vu, H. (2004). Lexical-semantic retention and speech production: Further evidence from normal and brain-damaged participants for a phrasal scope of planning. </w:t>
      </w:r>
      <w:r w:rsidRPr="003A04C9">
        <w:rPr>
          <w:rFonts w:eastAsiaTheme="majorEastAsia"/>
          <w:i/>
          <w:iCs/>
        </w:rPr>
        <w:t>Cognitive Neuropsychology, 21</w:t>
      </w:r>
      <w:r w:rsidRPr="003A04C9">
        <w:rPr>
          <w:rFonts w:eastAsiaTheme="majorEastAsia"/>
        </w:rPr>
        <w:t>, 625 - 644</w:t>
      </w:r>
      <w:r>
        <w:rPr>
          <w:rFonts w:eastAsiaTheme="majorEastAsia"/>
        </w:rPr>
        <w:t>. https</w:t>
      </w:r>
      <w:r w:rsidRPr="003A04C9">
        <w:rPr>
          <w:rFonts w:eastAsiaTheme="majorEastAsia"/>
        </w:rPr>
        <w:t>://doi.org/10.1080/02643290342000302</w:t>
      </w:r>
    </w:p>
    <w:p w14:paraId="12996D98" w14:textId="77777777" w:rsidR="00091DAC" w:rsidRDefault="00091DAC" w:rsidP="00091DAC">
      <w:pPr>
        <w:spacing w:before="120" w:after="120" w:line="360" w:lineRule="auto"/>
        <w:ind w:left="426" w:hanging="426"/>
        <w:rPr>
          <w:rFonts w:eastAsiaTheme="majorEastAsia"/>
        </w:rPr>
      </w:pPr>
      <w:r w:rsidRPr="003A04C9">
        <w:rPr>
          <w:rFonts w:eastAsiaTheme="majorEastAsia"/>
        </w:rPr>
        <w:t>Martin, R. C., Shelton, J., &amp; Yaffee, L. (1994). Language processing and working memory: Neuropsychological evidence for separate phonological and semantic capacities.</w:t>
      </w:r>
      <w:r w:rsidRPr="003A04C9">
        <w:rPr>
          <w:rFonts w:eastAsiaTheme="majorEastAsia"/>
          <w:i/>
          <w:iCs/>
        </w:rPr>
        <w:t xml:space="preserve"> Journal of Memory and Language, 33</w:t>
      </w:r>
      <w:r w:rsidRPr="003A04C9">
        <w:rPr>
          <w:rFonts w:eastAsiaTheme="majorEastAsia"/>
        </w:rPr>
        <w:t>, 83 - 111</w:t>
      </w:r>
      <w:r>
        <w:rPr>
          <w:rFonts w:eastAsiaTheme="majorEastAsia"/>
        </w:rPr>
        <w:t>. https</w:t>
      </w:r>
      <w:r w:rsidRPr="003A04C9">
        <w:rPr>
          <w:rFonts w:eastAsiaTheme="majorEastAsia"/>
        </w:rPr>
        <w:t>://doi.org/10.1006/jmla.1994.1005</w:t>
      </w:r>
    </w:p>
    <w:p w14:paraId="230E150C"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Mirman, D., Chen, Q., Zhang, Y., Wang, Z., Faseyitan, O. K., Coslett, H. B., &amp; Schwartz, M. F. (2015). Neural organization of spoken language revealed by lesion- symptom mapping. </w:t>
      </w:r>
      <w:r w:rsidRPr="003A04C9">
        <w:rPr>
          <w:rFonts w:eastAsiaTheme="majorEastAsia"/>
          <w:i/>
          <w:iCs/>
        </w:rPr>
        <w:t>Nature Communications, 6</w:t>
      </w:r>
      <w:r w:rsidRPr="003A04C9">
        <w:rPr>
          <w:rFonts w:eastAsiaTheme="majorEastAsia"/>
        </w:rPr>
        <w:t>, 6762</w:t>
      </w:r>
      <w:r>
        <w:rPr>
          <w:rFonts w:eastAsiaTheme="majorEastAsia"/>
        </w:rPr>
        <w:t>. https</w:t>
      </w:r>
      <w:r w:rsidRPr="003A04C9">
        <w:rPr>
          <w:rFonts w:eastAsiaTheme="majorEastAsia"/>
        </w:rPr>
        <w:t>://doi.org/10.1038/ncomms7762</w:t>
      </w:r>
    </w:p>
    <w:p w14:paraId="6E4A2301"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Mirman, D., Kraft, A. E., Harvey, D. Y., Brecher, A. R., &amp; Schwartz, M. F. (2019). Mapping articulatory and grammatical subcomponents of fluency deficits in post-stroke aphasia. </w:t>
      </w:r>
      <w:r w:rsidRPr="003A04C9">
        <w:rPr>
          <w:rFonts w:eastAsiaTheme="majorEastAsia"/>
          <w:i/>
          <w:iCs/>
        </w:rPr>
        <w:t>Cognitive, Affective, and Behavioral Neuroscience, 19(5)</w:t>
      </w:r>
      <w:r w:rsidRPr="003A04C9">
        <w:rPr>
          <w:rFonts w:eastAsiaTheme="majorEastAsia"/>
        </w:rPr>
        <w:t>, 1286-1298</w:t>
      </w:r>
      <w:r>
        <w:rPr>
          <w:rFonts w:eastAsiaTheme="majorEastAsia"/>
        </w:rPr>
        <w:t>. https</w:t>
      </w:r>
      <w:r w:rsidRPr="003A04C9">
        <w:rPr>
          <w:rFonts w:eastAsiaTheme="majorEastAsia"/>
        </w:rPr>
        <w:t>://doi.org/10.3758/s13415-019-00729-9</w:t>
      </w:r>
    </w:p>
    <w:p w14:paraId="2D2DDFAA" w14:textId="77777777" w:rsidR="00091DAC" w:rsidRDefault="00091DAC" w:rsidP="00091DAC">
      <w:pPr>
        <w:spacing w:before="120" w:after="120" w:line="360" w:lineRule="auto"/>
        <w:ind w:left="426" w:hanging="426"/>
        <w:rPr>
          <w:rFonts w:eastAsiaTheme="majorEastAsia"/>
        </w:rPr>
      </w:pPr>
      <w:r w:rsidRPr="003A04C9">
        <w:rPr>
          <w:rFonts w:eastAsiaTheme="majorEastAsia"/>
        </w:rPr>
        <w:lastRenderedPageBreak/>
        <w:t xml:space="preserve">Mirman, D., Landrigan, J. F., Kokolis, S., Verillo, S., Ferrara, C., &amp; Pustina, D. (2018). Corrections for multiple comparisons in voxel-based lesion-symptom mapping. </w:t>
      </w:r>
      <w:r w:rsidRPr="003A04C9">
        <w:rPr>
          <w:rFonts w:eastAsiaTheme="majorEastAsia"/>
          <w:i/>
          <w:iCs/>
        </w:rPr>
        <w:t xml:space="preserve">Neuropsychologia, 115, </w:t>
      </w:r>
      <w:r w:rsidRPr="003A04C9">
        <w:rPr>
          <w:rFonts w:eastAsiaTheme="majorEastAsia"/>
        </w:rPr>
        <w:t>112-123</w:t>
      </w:r>
      <w:r>
        <w:rPr>
          <w:rFonts w:eastAsiaTheme="majorEastAsia"/>
        </w:rPr>
        <w:t>. https</w:t>
      </w:r>
      <w:r w:rsidRPr="003A04C9">
        <w:rPr>
          <w:rFonts w:eastAsiaTheme="majorEastAsia"/>
        </w:rPr>
        <w:t>://doi.org/10.1016/j.neuropsychologia.2017.08.025</w:t>
      </w:r>
    </w:p>
    <w:p w14:paraId="53EA51CD"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Novick, J. M., Kan, I. P., Trueswell, J. C., &amp; Thompson- Schill, S. L. (2009). A case for conflict across multiple domains: Memory and language impairments following damage to ventrolateral prefrontal cortex. </w:t>
      </w:r>
      <w:r w:rsidRPr="003A04C9">
        <w:rPr>
          <w:rFonts w:eastAsiaTheme="majorEastAsia"/>
          <w:i/>
          <w:iCs/>
        </w:rPr>
        <w:t>Cognitive Neuropsychology, 26</w:t>
      </w:r>
      <w:r w:rsidRPr="003A04C9">
        <w:rPr>
          <w:rFonts w:eastAsiaTheme="majorEastAsia"/>
        </w:rPr>
        <w:t>, 527-567</w:t>
      </w:r>
      <w:r>
        <w:rPr>
          <w:rFonts w:eastAsiaTheme="majorEastAsia"/>
        </w:rPr>
        <w:t>. https</w:t>
      </w:r>
      <w:r w:rsidRPr="003A04C9">
        <w:rPr>
          <w:rFonts w:eastAsiaTheme="majorEastAsia"/>
        </w:rPr>
        <w:t>://doi.org/10.1080/02643290903519367</w:t>
      </w:r>
    </w:p>
    <w:p w14:paraId="5F510587"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Novick, J. M., Trueswell, J. C., &amp; Thompson-Schill, S. L. (2010). Broca's area and language processing: Evidence for the cognitive control connection. </w:t>
      </w:r>
      <w:r w:rsidRPr="003A04C9">
        <w:rPr>
          <w:rFonts w:eastAsiaTheme="majorEastAsia"/>
          <w:i/>
          <w:iCs/>
        </w:rPr>
        <w:t>Language and Linguistics Compass, 4</w:t>
      </w:r>
      <w:r w:rsidRPr="003A04C9">
        <w:rPr>
          <w:rFonts w:eastAsiaTheme="majorEastAsia"/>
        </w:rPr>
        <w:t>, 906-924</w:t>
      </w:r>
      <w:r>
        <w:rPr>
          <w:rFonts w:eastAsiaTheme="majorEastAsia"/>
        </w:rPr>
        <w:t>. https</w:t>
      </w:r>
      <w:r w:rsidRPr="003A04C9">
        <w:rPr>
          <w:rFonts w:eastAsiaTheme="majorEastAsia"/>
        </w:rPr>
        <w:t>://doi.org/10.1111/j.1749-818X.2010.00244.x</w:t>
      </w:r>
    </w:p>
    <w:p w14:paraId="424E0700"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Nozari, N., &amp; Faroqi-Shah, Y. (2017). Investigating the origin of nonfluency in aphasia: A path modeling approach to neuropsychology. </w:t>
      </w:r>
      <w:r w:rsidRPr="003A04C9">
        <w:rPr>
          <w:rFonts w:eastAsiaTheme="majorEastAsia"/>
          <w:i/>
          <w:iCs/>
        </w:rPr>
        <w:t>Cortex, 95</w:t>
      </w:r>
      <w:r w:rsidRPr="003A04C9">
        <w:rPr>
          <w:rFonts w:eastAsiaTheme="majorEastAsia"/>
        </w:rPr>
        <w:t>, 119-135</w:t>
      </w:r>
      <w:r>
        <w:rPr>
          <w:rFonts w:eastAsiaTheme="majorEastAsia"/>
        </w:rPr>
        <w:t>. https</w:t>
      </w:r>
      <w:r w:rsidRPr="003A04C9">
        <w:rPr>
          <w:rFonts w:eastAsiaTheme="majorEastAsia"/>
        </w:rPr>
        <w:t>://doi.org/10.1016/j.cortex.2017.08.003</w:t>
      </w:r>
    </w:p>
    <w:p w14:paraId="466F679C"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Oppenheim, G. M., Dell, G. S., &amp; Schwartz, M. F. (2010). The dark side of incremental learning: A model of cumulative semantic interference during lexical access in speech production. </w:t>
      </w:r>
      <w:r w:rsidRPr="003A04C9">
        <w:rPr>
          <w:rFonts w:eastAsiaTheme="majorEastAsia"/>
          <w:i/>
          <w:iCs/>
        </w:rPr>
        <w:t>Cognition, 114(2)</w:t>
      </w:r>
      <w:r w:rsidRPr="003A04C9">
        <w:rPr>
          <w:rFonts w:eastAsiaTheme="majorEastAsia"/>
        </w:rPr>
        <w:t>, 227-252</w:t>
      </w:r>
      <w:r>
        <w:rPr>
          <w:rFonts w:eastAsiaTheme="majorEastAsia"/>
        </w:rPr>
        <w:t>. https</w:t>
      </w:r>
      <w:r w:rsidRPr="003A04C9">
        <w:rPr>
          <w:rFonts w:eastAsiaTheme="majorEastAsia"/>
        </w:rPr>
        <w:t>://doi.org/10.1016/j.cognition.2009.09.007</w:t>
      </w:r>
    </w:p>
    <w:p w14:paraId="3AE6B8FE"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Pickering, M. J. &amp; Branigan, H. P. (1999). Syntactic priming in language production. </w:t>
      </w:r>
      <w:r w:rsidRPr="003A04C9">
        <w:rPr>
          <w:rFonts w:eastAsiaTheme="majorEastAsia"/>
          <w:i/>
          <w:iCs/>
        </w:rPr>
        <w:t>Trends in Cognitive Sciences, 3</w:t>
      </w:r>
      <w:r w:rsidRPr="003A04C9">
        <w:rPr>
          <w:rFonts w:eastAsiaTheme="majorEastAsia"/>
        </w:rPr>
        <w:t>, 136-141</w:t>
      </w:r>
      <w:r>
        <w:rPr>
          <w:rFonts w:eastAsiaTheme="majorEastAsia"/>
        </w:rPr>
        <w:t>. https</w:t>
      </w:r>
      <w:r w:rsidRPr="003A04C9">
        <w:rPr>
          <w:rFonts w:eastAsiaTheme="majorEastAsia"/>
        </w:rPr>
        <w:t>://doi.org/10.1016/S1364-6613(99)01293-0</w:t>
      </w:r>
    </w:p>
    <w:p w14:paraId="4053C2A3" w14:textId="77777777" w:rsidR="00091DAC" w:rsidRDefault="00091DAC" w:rsidP="00091DAC">
      <w:pPr>
        <w:spacing w:before="120" w:after="120" w:line="360" w:lineRule="auto"/>
        <w:ind w:left="426" w:hanging="426"/>
        <w:rPr>
          <w:rFonts w:eastAsiaTheme="majorEastAsia"/>
        </w:rPr>
      </w:pPr>
      <w:r w:rsidRPr="003A04C9">
        <w:rPr>
          <w:rFonts w:eastAsiaTheme="majorEastAsia"/>
        </w:rPr>
        <w:t>Pustina, D. (2018).</w:t>
      </w:r>
      <w:r w:rsidRPr="003A04C9">
        <w:rPr>
          <w:rFonts w:eastAsiaTheme="majorEastAsia"/>
          <w:i/>
          <w:iCs/>
        </w:rPr>
        <w:t xml:space="preserve"> LESYMAP: Lesion to Symptom Mapping in R</w:t>
      </w:r>
      <w:r w:rsidRPr="003A04C9">
        <w:rPr>
          <w:rFonts w:eastAsiaTheme="majorEastAsia"/>
        </w:rPr>
        <w:t>. R package version 0.0.0.9201</w:t>
      </w:r>
    </w:p>
    <w:p w14:paraId="685EC34D"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Python, G., Glize, B., &amp; Laganaro, M. (2018). The involvement of left inferior frontal and middle temporal cortices in word production unveiled by greater facilitation effects following brain damage. </w:t>
      </w:r>
      <w:r w:rsidRPr="003A04C9">
        <w:rPr>
          <w:rFonts w:eastAsiaTheme="majorEastAsia"/>
          <w:i/>
          <w:iCs/>
        </w:rPr>
        <w:t>Neuropsychologia, 121,</w:t>
      </w:r>
      <w:r w:rsidRPr="003A04C9">
        <w:rPr>
          <w:rFonts w:eastAsiaTheme="majorEastAsia"/>
        </w:rPr>
        <w:t xml:space="preserve"> 122-134</w:t>
      </w:r>
      <w:r>
        <w:rPr>
          <w:rFonts w:eastAsiaTheme="majorEastAsia"/>
        </w:rPr>
        <w:t>. https</w:t>
      </w:r>
      <w:r w:rsidRPr="003A04C9">
        <w:rPr>
          <w:rFonts w:eastAsiaTheme="majorEastAsia"/>
        </w:rPr>
        <w:t>://doi.org/10.1016/j.neuropsychologia.2018.10.026</w:t>
      </w:r>
    </w:p>
    <w:p w14:paraId="167743E2"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Riès, S. K., Greenhouse, I., Dronkers, N. F., Haaland, K. Y., &amp; Knight, R. T. (2014). Double dissociation of the roles of the left and right prefrontal cortices in anticipatory regulation of action. </w:t>
      </w:r>
      <w:r w:rsidRPr="003A04C9">
        <w:rPr>
          <w:rFonts w:eastAsiaTheme="majorEastAsia"/>
          <w:i/>
          <w:iCs/>
        </w:rPr>
        <w:t>Neuropsychologia, 63</w:t>
      </w:r>
      <w:r w:rsidRPr="003A04C9">
        <w:rPr>
          <w:rFonts w:eastAsiaTheme="majorEastAsia"/>
        </w:rPr>
        <w:t>, 215-225</w:t>
      </w:r>
      <w:r>
        <w:rPr>
          <w:rFonts w:eastAsiaTheme="majorEastAsia"/>
        </w:rPr>
        <w:t>. https</w:t>
      </w:r>
      <w:r w:rsidRPr="003A04C9">
        <w:rPr>
          <w:rFonts w:eastAsiaTheme="majorEastAsia"/>
        </w:rPr>
        <w:t>://doi.org/10.1016/j.neuropsychologia.2014.08.026</w:t>
      </w:r>
    </w:p>
    <w:p w14:paraId="7873DF95"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Riès, S. K., Karzmark, C. R., Navarrete, E., Knight, R. T., &amp; Dronkers, N. F. (2015). Specifying the role of the left prefrontal cortex in word selection. </w:t>
      </w:r>
      <w:r w:rsidRPr="003A04C9">
        <w:rPr>
          <w:rFonts w:eastAsiaTheme="majorEastAsia"/>
          <w:i/>
          <w:iCs/>
        </w:rPr>
        <w:t>Brain and Language, 149</w:t>
      </w:r>
      <w:r w:rsidRPr="003A04C9">
        <w:rPr>
          <w:rFonts w:eastAsiaTheme="majorEastAsia"/>
        </w:rPr>
        <w:t>, 135-147</w:t>
      </w:r>
      <w:r>
        <w:rPr>
          <w:rFonts w:eastAsiaTheme="majorEastAsia"/>
        </w:rPr>
        <w:t>. https</w:t>
      </w:r>
      <w:r w:rsidRPr="003A04C9">
        <w:rPr>
          <w:rFonts w:eastAsiaTheme="majorEastAsia"/>
        </w:rPr>
        <w:t>://doi.org/10.1016/j.bandl.2015.07.007</w:t>
      </w:r>
    </w:p>
    <w:p w14:paraId="105556F6" w14:textId="77777777" w:rsidR="00091DAC" w:rsidRDefault="00091DAC" w:rsidP="00091DAC">
      <w:pPr>
        <w:spacing w:before="120" w:after="120" w:line="360" w:lineRule="auto"/>
        <w:ind w:left="426" w:hanging="426"/>
        <w:rPr>
          <w:rFonts w:eastAsiaTheme="majorEastAsia"/>
        </w:rPr>
      </w:pPr>
      <w:r w:rsidRPr="003A04C9">
        <w:rPr>
          <w:rFonts w:eastAsiaTheme="majorEastAsia"/>
        </w:rPr>
        <w:lastRenderedPageBreak/>
        <w:t xml:space="preserve">Robinson, G., Shallice, T., Bozzali, M., &amp; Cipolotti, L. (2010). Conceptual proposition selection and the LIFG: neuropsychological evidence from a focal frontal group. </w:t>
      </w:r>
      <w:r w:rsidRPr="003A04C9">
        <w:rPr>
          <w:rFonts w:eastAsiaTheme="majorEastAsia"/>
          <w:i/>
          <w:iCs/>
        </w:rPr>
        <w:t>Neuropsychologia, 48(6)</w:t>
      </w:r>
      <w:r w:rsidRPr="003A04C9">
        <w:rPr>
          <w:rFonts w:eastAsiaTheme="majorEastAsia"/>
        </w:rPr>
        <w:t>, 1652-1663</w:t>
      </w:r>
      <w:r>
        <w:rPr>
          <w:rFonts w:eastAsiaTheme="majorEastAsia"/>
        </w:rPr>
        <w:t>. https</w:t>
      </w:r>
      <w:r w:rsidRPr="003A04C9">
        <w:rPr>
          <w:rFonts w:eastAsiaTheme="majorEastAsia"/>
        </w:rPr>
        <w:t>://doi.org/10.1016/j.neuropsychologia.2010.02.010</w:t>
      </w:r>
    </w:p>
    <w:p w14:paraId="34F5CA59"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Robinson, G., Shallice, T., Bozzali, M., &amp; Cipolotti, L. (2012). The differing roles of the frontal cortex in fluency tests. </w:t>
      </w:r>
      <w:r w:rsidRPr="003A04C9">
        <w:rPr>
          <w:rFonts w:eastAsiaTheme="majorEastAsia"/>
          <w:i/>
          <w:iCs/>
        </w:rPr>
        <w:t>Brain, 135(7)</w:t>
      </w:r>
      <w:r w:rsidRPr="003A04C9">
        <w:rPr>
          <w:rFonts w:eastAsiaTheme="majorEastAsia"/>
        </w:rPr>
        <w:t>, 2202-2214</w:t>
      </w:r>
      <w:r>
        <w:rPr>
          <w:rFonts w:eastAsiaTheme="majorEastAsia"/>
        </w:rPr>
        <w:t>. https</w:t>
      </w:r>
      <w:r w:rsidRPr="003A04C9">
        <w:rPr>
          <w:rFonts w:eastAsiaTheme="majorEastAsia"/>
        </w:rPr>
        <w:t>://doi.org/10.1093/brain/aws142</w:t>
      </w:r>
    </w:p>
    <w:p w14:paraId="54608DE6"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Robinson, G.A., Shallice, T., &amp; Cipolotti, L. (2005). A failure of high level verbal response selection in progressive dynamic aphasia. </w:t>
      </w:r>
      <w:r w:rsidRPr="003A04C9">
        <w:rPr>
          <w:rFonts w:eastAsiaTheme="majorEastAsia"/>
          <w:i/>
          <w:iCs/>
        </w:rPr>
        <w:t>Cognitive Neuropsychology, 22</w:t>
      </w:r>
      <w:r w:rsidRPr="003A04C9">
        <w:rPr>
          <w:rFonts w:eastAsiaTheme="majorEastAsia"/>
        </w:rPr>
        <w:t>, 661-694. doi: 10.1080/ 02643290442000239https://doi.org/10.1080/02643290442000239</w:t>
      </w:r>
    </w:p>
    <w:p w14:paraId="17309B08"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Roelofs, A. (2018). A unified computational account of cumulative semantic, semantic blocking, and semantic distractor effects in picture naming. </w:t>
      </w:r>
      <w:r w:rsidRPr="003A04C9">
        <w:rPr>
          <w:rFonts w:eastAsiaTheme="majorEastAsia"/>
          <w:i/>
          <w:iCs/>
        </w:rPr>
        <w:t>Cognition, 172</w:t>
      </w:r>
      <w:r w:rsidRPr="003A04C9">
        <w:rPr>
          <w:rFonts w:eastAsiaTheme="majorEastAsia"/>
        </w:rPr>
        <w:t>, 59-72</w:t>
      </w:r>
      <w:r>
        <w:rPr>
          <w:rFonts w:eastAsiaTheme="majorEastAsia"/>
        </w:rPr>
        <w:t>. https</w:t>
      </w:r>
      <w:r w:rsidRPr="003A04C9">
        <w:rPr>
          <w:rFonts w:eastAsiaTheme="majorEastAsia"/>
        </w:rPr>
        <w:t>://doi.org/10.1016/j.cognition.2017.12.007</w:t>
      </w:r>
    </w:p>
    <w:p w14:paraId="3EB839A7"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Rogalski, E., Cobia, D., Harrison, T. M., Wieneke, C., Thompson, C. K., Weintraub, S., &amp; Mesulam, M. M. (2011). Anatomy of language impairments in primary progressive aphasia. </w:t>
      </w:r>
      <w:r w:rsidRPr="003A04C9">
        <w:rPr>
          <w:rFonts w:eastAsiaTheme="majorEastAsia"/>
          <w:i/>
          <w:iCs/>
        </w:rPr>
        <w:t>Journal of Neuroscience, 31(9)</w:t>
      </w:r>
      <w:r w:rsidRPr="003A04C9">
        <w:rPr>
          <w:rFonts w:eastAsiaTheme="majorEastAsia"/>
        </w:rPr>
        <w:t>, 3344-3350</w:t>
      </w:r>
      <w:r>
        <w:rPr>
          <w:rFonts w:eastAsiaTheme="majorEastAsia"/>
        </w:rPr>
        <w:t>. https</w:t>
      </w:r>
      <w:r w:rsidRPr="003A04C9">
        <w:rPr>
          <w:rFonts w:eastAsiaTheme="majorEastAsia"/>
        </w:rPr>
        <w:t>://doi.org/10.1523/JNEUROSCI.5544-10.2011</w:t>
      </w:r>
    </w:p>
    <w:p w14:paraId="3C889AE7"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Rorden, C., Bonilha, L., Fridriksson, J., Bender, B., &amp; Karnath, H. O. (2012). Age- 1550 specific CT and MRI templates for spatial normalization. </w:t>
      </w:r>
      <w:r w:rsidRPr="003A04C9">
        <w:rPr>
          <w:rFonts w:eastAsiaTheme="majorEastAsia"/>
          <w:i/>
          <w:iCs/>
        </w:rPr>
        <w:t>Neuroimage, 61</w:t>
      </w:r>
      <w:r w:rsidRPr="003A04C9">
        <w:rPr>
          <w:rFonts w:eastAsiaTheme="majorEastAsia"/>
        </w:rPr>
        <w:t>, 1551 957-965</w:t>
      </w:r>
      <w:r>
        <w:rPr>
          <w:rFonts w:eastAsiaTheme="majorEastAsia"/>
        </w:rPr>
        <w:t>. https</w:t>
      </w:r>
      <w:r w:rsidRPr="003A04C9">
        <w:rPr>
          <w:rFonts w:eastAsiaTheme="majorEastAsia"/>
        </w:rPr>
        <w:t>://doi.org/10.1016/j.neuroimage.2012.03.020</w:t>
      </w:r>
    </w:p>
    <w:p w14:paraId="5FAB6496"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Ruiter, M. B., Kolk, H. H., &amp; Rietveld, T. C. (2010). Speaking in ellipses: The effect of a compensatory style of speech on functional communication in chronic agrammatism. </w:t>
      </w:r>
      <w:r w:rsidRPr="003A04C9">
        <w:rPr>
          <w:rFonts w:eastAsiaTheme="majorEastAsia"/>
          <w:i/>
          <w:iCs/>
        </w:rPr>
        <w:t>Neuropsychological Rehabilitation, 20</w:t>
      </w:r>
      <w:r w:rsidRPr="003A04C9">
        <w:rPr>
          <w:rFonts w:eastAsiaTheme="majorEastAsia"/>
        </w:rPr>
        <w:t>, 423-458</w:t>
      </w:r>
      <w:r>
        <w:rPr>
          <w:rFonts w:eastAsiaTheme="majorEastAsia"/>
        </w:rPr>
        <w:t>. https</w:t>
      </w:r>
      <w:r w:rsidRPr="003A04C9">
        <w:rPr>
          <w:rFonts w:eastAsiaTheme="majorEastAsia"/>
        </w:rPr>
        <w:t>://doi.org/10.1080/09602010903399287</w:t>
      </w:r>
    </w:p>
    <w:p w14:paraId="4D3EB212" w14:textId="77777777" w:rsidR="00091DAC" w:rsidRDefault="00091DAC" w:rsidP="00091DAC">
      <w:pPr>
        <w:spacing w:before="120" w:after="120" w:line="360" w:lineRule="auto"/>
        <w:ind w:left="426" w:hanging="426"/>
        <w:rPr>
          <w:rFonts w:eastAsiaTheme="majorEastAsia"/>
        </w:rPr>
      </w:pPr>
      <w:r w:rsidRPr="003A04C9">
        <w:rPr>
          <w:rFonts w:eastAsiaTheme="majorEastAsia"/>
        </w:rPr>
        <w:t>Saffran, E. M., Berndt, R. S., &amp; Schwartz, M. F. (1989). The quantitative analysis of agrammatic production: Procedure and data.</w:t>
      </w:r>
      <w:r w:rsidRPr="003A04C9">
        <w:rPr>
          <w:rFonts w:eastAsiaTheme="majorEastAsia"/>
          <w:i/>
          <w:iCs/>
        </w:rPr>
        <w:t xml:space="preserve"> Brain and Language, 37</w:t>
      </w:r>
      <w:r w:rsidRPr="003A04C9">
        <w:rPr>
          <w:rFonts w:eastAsiaTheme="majorEastAsia"/>
        </w:rPr>
        <w:t>, 440- 479https://doi.org/10.1016/0093-934X(89)90030-8</w:t>
      </w:r>
    </w:p>
    <w:p w14:paraId="794245BC"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Saffran, E. M., Schwartz, M. F., Linebarger, M. C., Martin, N., &amp; Bochetto, P. (1988). </w:t>
      </w:r>
      <w:r w:rsidRPr="003A04C9">
        <w:rPr>
          <w:rFonts w:eastAsiaTheme="majorEastAsia"/>
          <w:i/>
          <w:iCs/>
        </w:rPr>
        <w:t>The Philadelphia comprehension battery</w:t>
      </w:r>
      <w:r w:rsidRPr="003A04C9">
        <w:rPr>
          <w:rFonts w:eastAsiaTheme="majorEastAsia"/>
        </w:rPr>
        <w:t>. Unpublished test battery.</w:t>
      </w:r>
    </w:p>
    <w:p w14:paraId="7E7A3E65"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Sahraoui, H., &amp; Nespoulous, J. L. (2012). Across-task variability in agrammatic performance. </w:t>
      </w:r>
      <w:r w:rsidRPr="003A04C9">
        <w:rPr>
          <w:rFonts w:eastAsiaTheme="majorEastAsia"/>
          <w:i/>
          <w:iCs/>
        </w:rPr>
        <w:t>Aphasiology, 26(6)</w:t>
      </w:r>
      <w:r w:rsidRPr="003A04C9">
        <w:rPr>
          <w:rFonts w:eastAsiaTheme="majorEastAsia"/>
        </w:rPr>
        <w:t>, 785-810</w:t>
      </w:r>
      <w:r>
        <w:rPr>
          <w:rFonts w:eastAsiaTheme="majorEastAsia"/>
        </w:rPr>
        <w:t>. https</w:t>
      </w:r>
      <w:r w:rsidRPr="003A04C9">
        <w:rPr>
          <w:rFonts w:eastAsiaTheme="majorEastAsia"/>
        </w:rPr>
        <w:t>://doi.org/10.1080/02687038.2011.650625</w:t>
      </w:r>
    </w:p>
    <w:p w14:paraId="32B8A7B2"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Salis, C., &amp; Edwards, S. (2004). Adaptation theory and non-fluent aphasia in English. </w:t>
      </w:r>
      <w:r w:rsidRPr="003A04C9">
        <w:rPr>
          <w:rFonts w:eastAsiaTheme="majorEastAsia"/>
          <w:i/>
          <w:iCs/>
        </w:rPr>
        <w:t>Aphasiology, 18</w:t>
      </w:r>
      <w:r w:rsidRPr="003A04C9">
        <w:rPr>
          <w:rFonts w:eastAsiaTheme="majorEastAsia"/>
        </w:rPr>
        <w:t>, 1103-1120</w:t>
      </w:r>
      <w:r>
        <w:rPr>
          <w:rFonts w:eastAsiaTheme="majorEastAsia"/>
        </w:rPr>
        <w:t xml:space="preserve">. </w:t>
      </w:r>
      <w:r w:rsidRPr="003A04C9">
        <w:rPr>
          <w:rFonts w:eastAsiaTheme="majorEastAsia"/>
        </w:rPr>
        <w:t>https://doi.org/10.1080/02687030444000552</w:t>
      </w:r>
    </w:p>
    <w:p w14:paraId="71062D01" w14:textId="77777777" w:rsidR="00091DAC" w:rsidRDefault="00091DAC" w:rsidP="00091DAC">
      <w:pPr>
        <w:spacing w:before="120" w:after="120" w:line="360" w:lineRule="auto"/>
        <w:ind w:left="426" w:hanging="426"/>
        <w:rPr>
          <w:rFonts w:eastAsiaTheme="majorEastAsia"/>
        </w:rPr>
      </w:pPr>
      <w:r w:rsidRPr="003A04C9">
        <w:rPr>
          <w:rFonts w:eastAsiaTheme="majorEastAsia"/>
        </w:rPr>
        <w:lastRenderedPageBreak/>
        <w:t xml:space="preserve">Schnur, T. T. (2017). Word selection deficits and multiword speech. </w:t>
      </w:r>
      <w:r w:rsidRPr="003A04C9">
        <w:rPr>
          <w:rFonts w:eastAsiaTheme="majorEastAsia"/>
          <w:i/>
          <w:iCs/>
        </w:rPr>
        <w:t>Cognitive Neuropsychology, 34(1-2)</w:t>
      </w:r>
      <w:r w:rsidRPr="003A04C9">
        <w:rPr>
          <w:rFonts w:eastAsiaTheme="majorEastAsia"/>
        </w:rPr>
        <w:t>, 21-25</w:t>
      </w:r>
      <w:r>
        <w:rPr>
          <w:rFonts w:eastAsiaTheme="majorEastAsia"/>
        </w:rPr>
        <w:t>. https</w:t>
      </w:r>
      <w:r w:rsidRPr="003A04C9">
        <w:rPr>
          <w:rFonts w:eastAsiaTheme="majorEastAsia"/>
        </w:rPr>
        <w:t>://doi.org/10.1080/02643294.2017.1313215</w:t>
      </w:r>
    </w:p>
    <w:p w14:paraId="14F97B4C"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Schnur, T. T., Lee, E., Coslett, H. B., Schwartz, M. F., &amp; Thompson-Schill, S. L. (2005). When lexical selection gets tough, the LIFG gets going: A lesion analysis study of interference during word production. </w:t>
      </w:r>
      <w:r w:rsidRPr="003A04C9">
        <w:rPr>
          <w:rFonts w:eastAsiaTheme="majorEastAsia"/>
          <w:i/>
          <w:iCs/>
        </w:rPr>
        <w:t>Brain and Language, 95(1</w:t>
      </w:r>
      <w:r w:rsidRPr="003A04C9">
        <w:rPr>
          <w:rFonts w:eastAsiaTheme="majorEastAsia"/>
        </w:rPr>
        <w:t>), 12-13</w:t>
      </w:r>
      <w:r>
        <w:rPr>
          <w:rFonts w:eastAsiaTheme="majorEastAsia"/>
        </w:rPr>
        <w:t>. https</w:t>
      </w:r>
      <w:r w:rsidRPr="003A04C9">
        <w:rPr>
          <w:rFonts w:eastAsiaTheme="majorEastAsia"/>
        </w:rPr>
        <w:t>://doi.org/10.1016/j.bandl.2005.07.008</w:t>
      </w:r>
    </w:p>
    <w:p w14:paraId="41FBD6DF"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Schnur, T. T., Schwartz, M. F., Kimberg, D. Y., Hirshorn, E., Coslett, H. B., &amp; Thompson-Schill, S. L. (2009). Localizing interference during naming: Convergent neuroimaging and neuropsychological evidence for the function of Broca's area. </w:t>
      </w:r>
      <w:r w:rsidRPr="003A04C9">
        <w:rPr>
          <w:rFonts w:eastAsiaTheme="majorEastAsia"/>
          <w:i/>
          <w:iCs/>
        </w:rPr>
        <w:t>Proceedings of the National Academy of Sciences, 106(1),</w:t>
      </w:r>
      <w:r w:rsidRPr="003A04C9">
        <w:rPr>
          <w:rFonts w:eastAsiaTheme="majorEastAsia"/>
        </w:rPr>
        <w:t xml:space="preserve"> 322-327</w:t>
      </w:r>
      <w:r>
        <w:rPr>
          <w:rFonts w:eastAsiaTheme="majorEastAsia"/>
        </w:rPr>
        <w:t>. https</w:t>
      </w:r>
      <w:r w:rsidRPr="003A04C9">
        <w:rPr>
          <w:rFonts w:eastAsiaTheme="majorEastAsia"/>
        </w:rPr>
        <w:t>://doi.org/10.1073/pnas.0805874106</w:t>
      </w:r>
    </w:p>
    <w:p w14:paraId="756EEEB1"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Scott, R. M., &amp; Wilshire, C. E. (2010). Lexical competition for production in a case of nonfluent aphasia: Converging evidence from four different tasks. </w:t>
      </w:r>
      <w:r w:rsidRPr="003A04C9">
        <w:rPr>
          <w:rFonts w:eastAsiaTheme="majorEastAsia"/>
          <w:i/>
          <w:iCs/>
        </w:rPr>
        <w:t>Cognitive Neuropsychology, 27</w:t>
      </w:r>
      <w:r w:rsidRPr="003A04C9">
        <w:rPr>
          <w:rFonts w:eastAsiaTheme="majorEastAsia"/>
        </w:rPr>
        <w:t>, 505 - 538</w:t>
      </w:r>
      <w:r>
        <w:rPr>
          <w:rFonts w:eastAsiaTheme="majorEastAsia"/>
        </w:rPr>
        <w:t>. https</w:t>
      </w:r>
      <w:r w:rsidRPr="003A04C9">
        <w:rPr>
          <w:rFonts w:eastAsiaTheme="majorEastAsia"/>
        </w:rPr>
        <w:t>://doi.org/10.1080/02643294.2011.598853</w:t>
      </w:r>
    </w:p>
    <w:p w14:paraId="3BC7F9A8"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Speer, P., &amp; Wilshire, C. E. (2013). What's in a sentence? The crucial role of lexical content in sentence production in nonfluent aphasia. </w:t>
      </w:r>
      <w:r w:rsidRPr="003A04C9">
        <w:rPr>
          <w:rFonts w:eastAsiaTheme="majorEastAsia"/>
          <w:i/>
          <w:iCs/>
        </w:rPr>
        <w:t>Cognitive Neuropsychology, 30(7-8)</w:t>
      </w:r>
      <w:r w:rsidRPr="003A04C9">
        <w:rPr>
          <w:rFonts w:eastAsiaTheme="majorEastAsia"/>
        </w:rPr>
        <w:t>, 507-543</w:t>
      </w:r>
      <w:r>
        <w:rPr>
          <w:rFonts w:eastAsiaTheme="majorEastAsia"/>
        </w:rPr>
        <w:t>. https</w:t>
      </w:r>
      <w:r w:rsidRPr="003A04C9">
        <w:rPr>
          <w:rFonts w:eastAsiaTheme="majorEastAsia"/>
        </w:rPr>
        <w:t>://doi.org/10.1080/02643294.2013.876398</w:t>
      </w:r>
    </w:p>
    <w:p w14:paraId="01C17787"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Stemberger, J. P. (1985). An interactive activation model of language production. In A. Ellis (Ed.), </w:t>
      </w:r>
      <w:r w:rsidRPr="003A04C9">
        <w:rPr>
          <w:rFonts w:eastAsiaTheme="majorEastAsia"/>
          <w:i/>
          <w:iCs/>
        </w:rPr>
        <w:t>Progress in the psychology of language</w:t>
      </w:r>
      <w:r w:rsidRPr="003A04C9">
        <w:rPr>
          <w:rFonts w:eastAsiaTheme="majorEastAsia"/>
        </w:rPr>
        <w:t xml:space="preserve"> (Vol. 1, pp. 143-186). Mahwah NJ: Erlbaum.</w:t>
      </w:r>
    </w:p>
    <w:p w14:paraId="7613332E"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Thothathiri, M., Gagliardi, M., &amp; Schwartz, M. F. (2012). Subdivision of frontal cortex mechanisms for language production in aphasia. </w:t>
      </w:r>
      <w:r w:rsidRPr="003A04C9">
        <w:rPr>
          <w:rFonts w:eastAsiaTheme="majorEastAsia"/>
          <w:i/>
          <w:iCs/>
        </w:rPr>
        <w:t>Neuropsychologia, 50(14)</w:t>
      </w:r>
      <w:r w:rsidRPr="003A04C9">
        <w:rPr>
          <w:rFonts w:eastAsiaTheme="majorEastAsia"/>
        </w:rPr>
        <w:t>, 3284-3294</w:t>
      </w:r>
      <w:r>
        <w:rPr>
          <w:rFonts w:eastAsiaTheme="majorEastAsia"/>
        </w:rPr>
        <w:t>. https</w:t>
      </w:r>
      <w:r w:rsidRPr="003A04C9">
        <w:rPr>
          <w:rFonts w:eastAsiaTheme="majorEastAsia"/>
        </w:rPr>
        <w:t>://doi.org/10.1016/j.neuropsychologia.2012.09.021</w:t>
      </w:r>
    </w:p>
    <w:p w14:paraId="599F744E"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Thothathiri, M., Schwartz, M. F., &amp; Thompson-Schill, S. L. (2010). Selection for position: The role of left ventrolateral prefrontal cortex in sequencing language. </w:t>
      </w:r>
      <w:r w:rsidRPr="003A04C9">
        <w:rPr>
          <w:rFonts w:eastAsiaTheme="majorEastAsia"/>
          <w:i/>
          <w:iCs/>
        </w:rPr>
        <w:t>Brain and Language, 113(1)</w:t>
      </w:r>
      <w:r w:rsidRPr="003A04C9">
        <w:rPr>
          <w:rFonts w:eastAsiaTheme="majorEastAsia"/>
        </w:rPr>
        <w:t>, 28-38</w:t>
      </w:r>
      <w:r>
        <w:rPr>
          <w:rFonts w:eastAsiaTheme="majorEastAsia"/>
        </w:rPr>
        <w:t>. https</w:t>
      </w:r>
      <w:r w:rsidRPr="003A04C9">
        <w:rPr>
          <w:rFonts w:eastAsiaTheme="majorEastAsia"/>
        </w:rPr>
        <w:t>://doi.org/10.1016/j.bandl.2010.01.002</w:t>
      </w:r>
    </w:p>
    <w:p w14:paraId="553DCA32"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Tsuchida, A., &amp; Fellows, L. K. (2013). Are core component processes of executive function dissociable within the frontal lobes? Evidence from humans with focal prefrontal damage. </w:t>
      </w:r>
      <w:r w:rsidRPr="003A04C9">
        <w:rPr>
          <w:rFonts w:eastAsiaTheme="majorEastAsia"/>
          <w:i/>
          <w:iCs/>
        </w:rPr>
        <w:t>Cortex, 49(7)</w:t>
      </w:r>
      <w:r w:rsidRPr="003A04C9">
        <w:rPr>
          <w:rFonts w:eastAsiaTheme="majorEastAsia"/>
        </w:rPr>
        <w:t>, 1790-1800</w:t>
      </w:r>
      <w:r>
        <w:rPr>
          <w:rFonts w:eastAsiaTheme="majorEastAsia"/>
        </w:rPr>
        <w:t>. https</w:t>
      </w:r>
      <w:r w:rsidRPr="003A04C9">
        <w:rPr>
          <w:rFonts w:eastAsiaTheme="majorEastAsia"/>
        </w:rPr>
        <w:t>://doi.org/10.1016/j.cortex.2012.10.014</w:t>
      </w:r>
    </w:p>
    <w:p w14:paraId="3C4B3A50"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Warrington, S., Bryant, K. L., Khrapitchev, A. A., Sallet, J., Charquero-Ballester, M., Douaud, G., ... &amp; Sotiropoulos, S. N. (2020). XTRACT-Standardised protocols for automated tractography in the human and macaque brain. </w:t>
      </w:r>
      <w:r w:rsidRPr="003A04C9">
        <w:rPr>
          <w:rFonts w:eastAsiaTheme="majorEastAsia"/>
          <w:i/>
          <w:iCs/>
        </w:rPr>
        <w:t>NeuroImage, 116923</w:t>
      </w:r>
      <w:r>
        <w:rPr>
          <w:rFonts w:eastAsiaTheme="majorEastAsia"/>
        </w:rPr>
        <w:t>. https</w:t>
      </w:r>
      <w:r w:rsidRPr="003A04C9">
        <w:rPr>
          <w:rFonts w:eastAsiaTheme="majorEastAsia"/>
        </w:rPr>
        <w:t>://doi.org/10.1016/j.neuroimage.2020.116923</w:t>
      </w:r>
    </w:p>
    <w:p w14:paraId="2D08F651" w14:textId="77777777" w:rsidR="00091DAC" w:rsidRDefault="00091DAC" w:rsidP="00091DAC">
      <w:pPr>
        <w:spacing w:before="120" w:after="120" w:line="360" w:lineRule="auto"/>
        <w:ind w:left="426" w:hanging="426"/>
        <w:rPr>
          <w:rFonts w:eastAsiaTheme="majorEastAsia"/>
        </w:rPr>
      </w:pPr>
      <w:r w:rsidRPr="003A04C9">
        <w:rPr>
          <w:rFonts w:eastAsiaTheme="majorEastAsia"/>
        </w:rPr>
        <w:lastRenderedPageBreak/>
        <w:t>Wilshire, C. E., &amp; McCarthy, R. A. (2002). Evidence for a context-sensitive word retrieval disorder in a case of nonfluent aphasia.</w:t>
      </w:r>
      <w:r w:rsidRPr="003A04C9">
        <w:rPr>
          <w:rFonts w:eastAsiaTheme="majorEastAsia"/>
          <w:i/>
          <w:iCs/>
        </w:rPr>
        <w:t xml:space="preserve"> Cognitive Neuropsychology, 19(2)</w:t>
      </w:r>
      <w:r w:rsidRPr="003A04C9">
        <w:rPr>
          <w:rFonts w:eastAsiaTheme="majorEastAsia"/>
        </w:rPr>
        <w:t>, 165-186</w:t>
      </w:r>
      <w:r>
        <w:rPr>
          <w:rFonts w:eastAsiaTheme="majorEastAsia"/>
        </w:rPr>
        <w:t>. https</w:t>
      </w:r>
      <w:r w:rsidRPr="003A04C9">
        <w:rPr>
          <w:rFonts w:eastAsiaTheme="majorEastAsia"/>
        </w:rPr>
        <w:t>://doi.org/10.1080/02643290143000169</w:t>
      </w:r>
    </w:p>
    <w:p w14:paraId="4BDE4071" w14:textId="77777777" w:rsidR="00091DAC" w:rsidRDefault="00091DAC" w:rsidP="00091DAC">
      <w:pPr>
        <w:spacing w:before="120" w:after="120" w:line="360" w:lineRule="auto"/>
        <w:ind w:left="426" w:hanging="426"/>
        <w:rPr>
          <w:rFonts w:eastAsiaTheme="majorEastAsia"/>
        </w:rPr>
      </w:pPr>
      <w:r w:rsidRPr="003A04C9">
        <w:rPr>
          <w:rFonts w:eastAsiaTheme="majorEastAsia"/>
        </w:rPr>
        <w:t xml:space="preserve">Wilson, S. M., Henry, M. L., Besbris, M., Ogar, J. M., Dronkers, N. F., Jarrold, W., (2010). Connected speech production in three variants of primary progressive aphasia. </w:t>
      </w:r>
      <w:r w:rsidRPr="003A04C9">
        <w:rPr>
          <w:rFonts w:eastAsiaTheme="majorEastAsia"/>
          <w:i/>
          <w:iCs/>
        </w:rPr>
        <w:t xml:space="preserve">Brain, 133, </w:t>
      </w:r>
      <w:r w:rsidRPr="003A04C9">
        <w:rPr>
          <w:rFonts w:eastAsiaTheme="majorEastAsia"/>
        </w:rPr>
        <w:t>2069-2088</w:t>
      </w:r>
      <w:r>
        <w:rPr>
          <w:rFonts w:eastAsiaTheme="majorEastAsia"/>
        </w:rPr>
        <w:t>. https</w:t>
      </w:r>
      <w:r w:rsidRPr="003A04C9">
        <w:rPr>
          <w:rFonts w:eastAsiaTheme="majorEastAsia"/>
        </w:rPr>
        <w:t>://doi.org/10.1093/brain/awq129</w:t>
      </w:r>
    </w:p>
    <w:p w14:paraId="028A8E5D" w14:textId="698C6A55" w:rsidR="003A04C9" w:rsidRPr="003A04C9" w:rsidRDefault="00091DAC" w:rsidP="007229A8">
      <w:pPr>
        <w:spacing w:before="120" w:after="120" w:line="360" w:lineRule="auto"/>
        <w:ind w:left="426" w:hanging="426"/>
        <w:rPr>
          <w:rFonts w:eastAsiaTheme="majorEastAsia"/>
        </w:rPr>
      </w:pPr>
      <w:r w:rsidRPr="003A04C9">
        <w:rPr>
          <w:rFonts w:eastAsiaTheme="majorEastAsia"/>
        </w:rPr>
        <w:t xml:space="preserve">Yourganov, G., Fridriksson, J., Rorden, C., Gleichgerrcht, E., &amp; Bonilha, L. (2016). Multivariate connectome-based symptom mapping in post-stroke patients: networks supporting language and speech. </w:t>
      </w:r>
      <w:r w:rsidRPr="003A04C9">
        <w:rPr>
          <w:rFonts w:eastAsiaTheme="majorEastAsia"/>
          <w:i/>
          <w:iCs/>
        </w:rPr>
        <w:t>Journal of Neuroscience, 36(25)</w:t>
      </w:r>
      <w:r w:rsidRPr="003A04C9">
        <w:rPr>
          <w:rFonts w:eastAsiaTheme="majorEastAsia"/>
        </w:rPr>
        <w:t>, 6668-6679</w:t>
      </w:r>
      <w:r>
        <w:rPr>
          <w:rFonts w:eastAsiaTheme="majorEastAsia"/>
        </w:rPr>
        <w:t>. https</w:t>
      </w:r>
      <w:r w:rsidRPr="003A04C9">
        <w:rPr>
          <w:rFonts w:eastAsiaTheme="majorEastAsia"/>
        </w:rPr>
        <w:t>://doi.org/10.1523/JNEUROSCI.4396-15.2016</w:t>
      </w:r>
    </w:p>
    <w:sectPr w:rsidR="003A04C9" w:rsidRPr="003A04C9" w:rsidSect="007229A8">
      <w:footerReference w:type="default" r:id="rId15"/>
      <w:headerReference w:type="first" r:id="rId16"/>
      <w:footerReference w:type="first" r:id="rId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7A2D" w14:textId="77777777" w:rsidR="00B70F77" w:rsidRDefault="00B70F77" w:rsidP="00C04939"/>
  </w:endnote>
  <w:endnote w:type="continuationSeparator" w:id="0">
    <w:p w14:paraId="11C39E84" w14:textId="77777777" w:rsidR="00B70F77" w:rsidRDefault="00B70F77" w:rsidP="00C0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DE36EF" w14:paraId="0D9A1237" w14:textId="77777777" w:rsidTr="02CDD885">
      <w:tc>
        <w:tcPr>
          <w:tcW w:w="3213" w:type="dxa"/>
        </w:tcPr>
        <w:p w14:paraId="2DF9DDD1" w14:textId="0C1A8D59" w:rsidR="00DE36EF" w:rsidRDefault="00DE36EF" w:rsidP="02CDD885">
          <w:pPr>
            <w:pStyle w:val="Header"/>
            <w:ind w:left="-115"/>
          </w:pPr>
        </w:p>
      </w:tc>
      <w:tc>
        <w:tcPr>
          <w:tcW w:w="3213" w:type="dxa"/>
        </w:tcPr>
        <w:p w14:paraId="1D80A3E3" w14:textId="4CF04963" w:rsidR="00DE36EF" w:rsidRDefault="00DE36EF" w:rsidP="02CDD885">
          <w:pPr>
            <w:pStyle w:val="Header"/>
            <w:jc w:val="center"/>
          </w:pPr>
        </w:p>
      </w:tc>
      <w:tc>
        <w:tcPr>
          <w:tcW w:w="3213" w:type="dxa"/>
        </w:tcPr>
        <w:p w14:paraId="7FF0D788" w14:textId="056A691C" w:rsidR="00DE36EF" w:rsidRDefault="00DE36EF" w:rsidP="02CDD885">
          <w:pPr>
            <w:pStyle w:val="Header"/>
            <w:ind w:right="-115"/>
            <w:jc w:val="right"/>
          </w:pPr>
        </w:p>
      </w:tc>
    </w:tr>
  </w:tbl>
  <w:p w14:paraId="57F1929C" w14:textId="4BB58802" w:rsidR="00DE36EF" w:rsidRDefault="00DE36EF" w:rsidP="02CDD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DE36EF" w14:paraId="15B4F1D2" w14:textId="77777777" w:rsidTr="02CDD885">
      <w:tc>
        <w:tcPr>
          <w:tcW w:w="3213" w:type="dxa"/>
        </w:tcPr>
        <w:p w14:paraId="2C71BC96" w14:textId="106A5254" w:rsidR="00DE36EF" w:rsidRDefault="00DE36EF" w:rsidP="02CDD885">
          <w:pPr>
            <w:pStyle w:val="Header"/>
            <w:ind w:left="-115"/>
          </w:pPr>
        </w:p>
      </w:tc>
      <w:tc>
        <w:tcPr>
          <w:tcW w:w="3213" w:type="dxa"/>
        </w:tcPr>
        <w:p w14:paraId="202FBA22" w14:textId="4C911098" w:rsidR="00DE36EF" w:rsidRDefault="00DE36EF" w:rsidP="02CDD885">
          <w:pPr>
            <w:pStyle w:val="Header"/>
            <w:jc w:val="center"/>
          </w:pPr>
        </w:p>
      </w:tc>
      <w:tc>
        <w:tcPr>
          <w:tcW w:w="3213" w:type="dxa"/>
        </w:tcPr>
        <w:p w14:paraId="23BADF6F" w14:textId="3F9C3989" w:rsidR="00DE36EF" w:rsidRDefault="00DE36EF" w:rsidP="02CDD885">
          <w:pPr>
            <w:pStyle w:val="Header"/>
            <w:ind w:right="-115"/>
            <w:jc w:val="right"/>
          </w:pPr>
        </w:p>
      </w:tc>
    </w:tr>
  </w:tbl>
  <w:p w14:paraId="3179E4D6" w14:textId="4904383B" w:rsidR="00DE36EF" w:rsidRDefault="00DE36EF" w:rsidP="02CDD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82D7" w14:textId="77777777" w:rsidR="00B70F77" w:rsidRDefault="00B70F77" w:rsidP="00C04939">
      <w:r>
        <w:separator/>
      </w:r>
    </w:p>
  </w:footnote>
  <w:footnote w:type="continuationSeparator" w:id="0">
    <w:p w14:paraId="35E0FA8A" w14:textId="77777777" w:rsidR="00B70F77" w:rsidRDefault="00B70F77" w:rsidP="00C0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733480"/>
      <w:docPartObj>
        <w:docPartGallery w:val="Page Numbers (Top of Page)"/>
        <w:docPartUnique/>
      </w:docPartObj>
    </w:sdtPr>
    <w:sdtEndPr>
      <w:rPr>
        <w:rStyle w:val="PageNumber"/>
      </w:rPr>
    </w:sdtEndPr>
    <w:sdtContent>
      <w:p w14:paraId="58AE9465" w14:textId="0EE6F21A" w:rsidR="00DE36EF" w:rsidRDefault="00DE36EF" w:rsidP="00824F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44B3B3" w14:textId="77777777" w:rsidR="00DE36EF" w:rsidRDefault="00DE36EF" w:rsidP="0078084B">
    <w:pPr>
      <w:pStyle w:val="Header"/>
      <w:ind w:right="360"/>
    </w:pPr>
  </w:p>
  <w:p w14:paraId="0B1820A0" w14:textId="77777777" w:rsidR="00DE36EF" w:rsidRDefault="00DE36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76514"/>
      <w:docPartObj>
        <w:docPartGallery w:val="Page Numbers (Top of Page)"/>
        <w:docPartUnique/>
      </w:docPartObj>
    </w:sdtPr>
    <w:sdtEndPr>
      <w:rPr>
        <w:rStyle w:val="PageNumber"/>
        <w:rFonts w:ascii="Times New Roman" w:hAnsi="Times New Roman" w:cs="Times New Roman"/>
      </w:rPr>
    </w:sdtEndPr>
    <w:sdtContent>
      <w:p w14:paraId="69DE0DE2" w14:textId="4587BC29" w:rsidR="00DE36EF" w:rsidRPr="00824F7A" w:rsidRDefault="00DE36EF" w:rsidP="00824F7A">
        <w:pPr>
          <w:pStyle w:val="Header"/>
          <w:framePr w:wrap="none" w:vAnchor="text" w:hAnchor="margin" w:xAlign="right" w:y="1"/>
          <w:rPr>
            <w:rStyle w:val="PageNumber"/>
            <w:rFonts w:ascii="Times New Roman" w:hAnsi="Times New Roman" w:cs="Times New Roman"/>
          </w:rPr>
        </w:pPr>
        <w:r w:rsidRPr="00824F7A">
          <w:rPr>
            <w:rStyle w:val="PageNumber"/>
            <w:rFonts w:ascii="Times New Roman" w:hAnsi="Times New Roman" w:cs="Times New Roman"/>
          </w:rPr>
          <w:fldChar w:fldCharType="begin"/>
        </w:r>
        <w:r w:rsidRPr="00824F7A">
          <w:rPr>
            <w:rStyle w:val="PageNumber"/>
            <w:rFonts w:ascii="Times New Roman" w:hAnsi="Times New Roman" w:cs="Times New Roman"/>
          </w:rPr>
          <w:instrText xml:space="preserve"> PAGE </w:instrText>
        </w:r>
        <w:r w:rsidRPr="00824F7A">
          <w:rPr>
            <w:rStyle w:val="PageNumber"/>
            <w:rFonts w:ascii="Times New Roman" w:hAnsi="Times New Roman" w:cs="Times New Roman"/>
          </w:rPr>
          <w:fldChar w:fldCharType="separate"/>
        </w:r>
        <w:r w:rsidRPr="00824F7A">
          <w:rPr>
            <w:rStyle w:val="PageNumber"/>
            <w:rFonts w:ascii="Times New Roman" w:hAnsi="Times New Roman" w:cs="Times New Roman"/>
            <w:noProof/>
          </w:rPr>
          <w:t>2</w:t>
        </w:r>
        <w:r w:rsidRPr="00824F7A">
          <w:rPr>
            <w:rStyle w:val="PageNumber"/>
            <w:rFonts w:ascii="Times New Roman" w:hAnsi="Times New Roman" w:cs="Times New Roman"/>
          </w:rPr>
          <w:fldChar w:fldCharType="end"/>
        </w:r>
      </w:p>
    </w:sdtContent>
  </w:sdt>
  <w:p w14:paraId="1161A405" w14:textId="77777777" w:rsidR="00DE36EF" w:rsidRPr="00824F7A" w:rsidRDefault="00DE36EF" w:rsidP="0078084B">
    <w:pPr>
      <w:pStyle w:val="Header"/>
      <w:ind w:right="360"/>
      <w:rPr>
        <w:rFonts w:ascii="Times New Roman" w:hAnsi="Times New Roman" w:cs="Times New Roman"/>
      </w:rPr>
    </w:pPr>
  </w:p>
  <w:p w14:paraId="6E26BE46" w14:textId="77777777" w:rsidR="00DE36EF" w:rsidRDefault="00DE36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DE36EF" w14:paraId="354E487C" w14:textId="77777777" w:rsidTr="02CDD885">
      <w:tc>
        <w:tcPr>
          <w:tcW w:w="3213" w:type="dxa"/>
        </w:tcPr>
        <w:p w14:paraId="5000314D" w14:textId="2CC10A93" w:rsidR="00DE36EF" w:rsidRDefault="00DE36EF" w:rsidP="02CDD885">
          <w:pPr>
            <w:pStyle w:val="Header"/>
            <w:ind w:left="-115"/>
          </w:pPr>
        </w:p>
      </w:tc>
      <w:tc>
        <w:tcPr>
          <w:tcW w:w="3213" w:type="dxa"/>
        </w:tcPr>
        <w:p w14:paraId="3833748F" w14:textId="2BCDA481" w:rsidR="00DE36EF" w:rsidRDefault="00DE36EF" w:rsidP="02CDD885">
          <w:pPr>
            <w:pStyle w:val="Header"/>
            <w:jc w:val="center"/>
          </w:pPr>
        </w:p>
      </w:tc>
      <w:tc>
        <w:tcPr>
          <w:tcW w:w="3213" w:type="dxa"/>
        </w:tcPr>
        <w:p w14:paraId="3A26D5FE" w14:textId="4F072237" w:rsidR="00DE36EF" w:rsidRDefault="00DE36EF" w:rsidP="02CDD885">
          <w:pPr>
            <w:pStyle w:val="Header"/>
            <w:ind w:right="-115"/>
            <w:jc w:val="right"/>
          </w:pPr>
        </w:p>
      </w:tc>
    </w:tr>
  </w:tbl>
  <w:p w14:paraId="3727EBED" w14:textId="0E1C8E70" w:rsidR="00DE36EF" w:rsidRDefault="00DE36EF" w:rsidP="02CDD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748"/>
    <w:multiLevelType w:val="hybridMultilevel"/>
    <w:tmpl w:val="2AFA0C4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51B0BD9"/>
    <w:multiLevelType w:val="hybridMultilevel"/>
    <w:tmpl w:val="11E25CBA"/>
    <w:lvl w:ilvl="0" w:tplc="B3C65D42">
      <w:start w:val="1"/>
      <w:numFmt w:val="decimal"/>
      <w:lvlText w:val="%1."/>
      <w:lvlJc w:val="left"/>
      <w:pPr>
        <w:ind w:left="720" w:hanging="360"/>
      </w:pPr>
      <w:rPr>
        <w:rFonts w:eastAsiaTheme="majorEastAsia"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EA1DEE"/>
    <w:multiLevelType w:val="multilevel"/>
    <w:tmpl w:val="E40653F2"/>
    <w:lvl w:ilvl="0">
      <w:start w:val="1"/>
      <w:numFmt w:val="decimal"/>
      <w:suff w:val="space"/>
      <w:lvlText w:val="Chapter %1"/>
      <w:lvlJc w:val="left"/>
      <w:pPr>
        <w:ind w:left="284" w:firstLine="0"/>
      </w:pPr>
    </w:lvl>
    <w:lvl w:ilvl="1">
      <w:start w:val="1"/>
      <w:numFmt w:val="none"/>
      <w:pStyle w:val="Heading2"/>
      <w:suff w:val="nothing"/>
      <w:lvlText w:val=""/>
      <w:lvlJc w:val="left"/>
      <w:pPr>
        <w:ind w:left="-1276" w:firstLine="0"/>
      </w:pPr>
    </w:lvl>
    <w:lvl w:ilvl="2">
      <w:start w:val="1"/>
      <w:numFmt w:val="none"/>
      <w:pStyle w:val="Heading3"/>
      <w:suff w:val="nothing"/>
      <w:lvlText w:val=""/>
      <w:lvlJc w:val="left"/>
      <w:pPr>
        <w:ind w:left="-1276" w:firstLine="0"/>
      </w:pPr>
    </w:lvl>
    <w:lvl w:ilvl="3">
      <w:start w:val="1"/>
      <w:numFmt w:val="none"/>
      <w:pStyle w:val="Heading4"/>
      <w:suff w:val="nothing"/>
      <w:lvlText w:val=""/>
      <w:lvlJc w:val="left"/>
      <w:pPr>
        <w:ind w:left="-1276" w:firstLine="0"/>
      </w:pPr>
    </w:lvl>
    <w:lvl w:ilvl="4">
      <w:start w:val="1"/>
      <w:numFmt w:val="none"/>
      <w:pStyle w:val="Heading5"/>
      <w:suff w:val="nothing"/>
      <w:lvlText w:val=""/>
      <w:lvlJc w:val="left"/>
      <w:pPr>
        <w:ind w:left="-1276" w:firstLine="0"/>
      </w:pPr>
    </w:lvl>
    <w:lvl w:ilvl="5">
      <w:start w:val="1"/>
      <w:numFmt w:val="none"/>
      <w:pStyle w:val="Heading6"/>
      <w:suff w:val="nothing"/>
      <w:lvlText w:val=""/>
      <w:lvlJc w:val="left"/>
      <w:pPr>
        <w:ind w:left="-1276" w:firstLine="0"/>
      </w:pPr>
    </w:lvl>
    <w:lvl w:ilvl="6">
      <w:start w:val="1"/>
      <w:numFmt w:val="none"/>
      <w:pStyle w:val="Heading7"/>
      <w:suff w:val="nothing"/>
      <w:lvlText w:val=""/>
      <w:lvlJc w:val="left"/>
      <w:pPr>
        <w:ind w:left="-1276" w:firstLine="0"/>
      </w:pPr>
    </w:lvl>
    <w:lvl w:ilvl="7">
      <w:start w:val="1"/>
      <w:numFmt w:val="none"/>
      <w:pStyle w:val="Heading8"/>
      <w:suff w:val="nothing"/>
      <w:lvlText w:val=""/>
      <w:lvlJc w:val="left"/>
      <w:pPr>
        <w:ind w:left="-1276" w:firstLine="0"/>
      </w:pPr>
    </w:lvl>
    <w:lvl w:ilvl="8">
      <w:start w:val="1"/>
      <w:numFmt w:val="none"/>
      <w:pStyle w:val="Heading9"/>
      <w:suff w:val="nothing"/>
      <w:lvlText w:val=""/>
      <w:lvlJc w:val="left"/>
      <w:pPr>
        <w:ind w:left="-1276" w:firstLine="0"/>
      </w:pPr>
    </w:lvl>
  </w:abstractNum>
  <w:abstractNum w:abstractNumId="3" w15:restartNumberingAfterBreak="0">
    <w:nsid w:val="144957E6"/>
    <w:multiLevelType w:val="multilevel"/>
    <w:tmpl w:val="9186236E"/>
    <w:lvl w:ilvl="0">
      <w:start w:val="1"/>
      <w:numFmt w:val="decimal"/>
      <w:lvlText w:val="%1"/>
      <w:lvlJc w:val="left"/>
      <w:pPr>
        <w:ind w:left="420" w:hanging="420"/>
      </w:pPr>
      <w:rPr>
        <w:rFonts w:hint="default"/>
      </w:rPr>
    </w:lvl>
    <w:lvl w:ilvl="1">
      <w:start w:val="63"/>
      <w:numFmt w:val="decimal"/>
      <w:lvlText w:val="%1.%2"/>
      <w:lvlJc w:val="left"/>
      <w:pPr>
        <w:ind w:left="448" w:hanging="4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4" w15:restartNumberingAfterBreak="0">
    <w:nsid w:val="15BF7752"/>
    <w:multiLevelType w:val="hybridMultilevel"/>
    <w:tmpl w:val="C64E5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167D89"/>
    <w:multiLevelType w:val="hybridMultilevel"/>
    <w:tmpl w:val="AE5C8A5E"/>
    <w:lvl w:ilvl="0" w:tplc="E09074A0">
      <w:start w:val="4"/>
      <w:numFmt w:val="bullet"/>
      <w:lvlText w:val=""/>
      <w:lvlJc w:val="left"/>
      <w:pPr>
        <w:ind w:left="1070" w:hanging="360"/>
      </w:pPr>
      <w:rPr>
        <w:rFonts w:ascii="Symbol" w:eastAsiaTheme="majorEastAsia" w:hAnsi="Symbol" w:cstheme="majorBidi"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2E232DDD"/>
    <w:multiLevelType w:val="multilevel"/>
    <w:tmpl w:val="6BB8E8D0"/>
    <w:lvl w:ilvl="0">
      <w:start w:val="1"/>
      <w:numFmt w:val="decimal"/>
      <w:pStyle w:val="Heading1"/>
      <w:suff w:val="space"/>
      <w:lvlText w:val="Chapter %1"/>
      <w:lvlJc w:val="left"/>
      <w:pPr>
        <w:ind w:left="2127" w:firstLine="0"/>
      </w:pPr>
    </w:lvl>
    <w:lvl w:ilvl="1">
      <w:start w:val="1"/>
      <w:numFmt w:val="none"/>
      <w:suff w:val="nothing"/>
      <w:lvlText w:val=""/>
      <w:lvlJc w:val="left"/>
      <w:pPr>
        <w:ind w:left="2127" w:firstLine="0"/>
      </w:pPr>
    </w:lvl>
    <w:lvl w:ilvl="2">
      <w:start w:val="1"/>
      <w:numFmt w:val="none"/>
      <w:suff w:val="nothing"/>
      <w:lvlText w:val=""/>
      <w:lvlJc w:val="left"/>
      <w:pPr>
        <w:ind w:left="2127" w:firstLine="0"/>
      </w:pPr>
    </w:lvl>
    <w:lvl w:ilvl="3">
      <w:start w:val="1"/>
      <w:numFmt w:val="none"/>
      <w:suff w:val="nothing"/>
      <w:lvlText w:val=""/>
      <w:lvlJc w:val="left"/>
      <w:pPr>
        <w:ind w:left="2127" w:firstLine="0"/>
      </w:pPr>
    </w:lvl>
    <w:lvl w:ilvl="4">
      <w:start w:val="1"/>
      <w:numFmt w:val="none"/>
      <w:suff w:val="nothing"/>
      <w:lvlText w:val=""/>
      <w:lvlJc w:val="left"/>
      <w:pPr>
        <w:ind w:left="2127" w:firstLine="0"/>
      </w:pPr>
    </w:lvl>
    <w:lvl w:ilvl="5">
      <w:start w:val="1"/>
      <w:numFmt w:val="none"/>
      <w:suff w:val="nothing"/>
      <w:lvlText w:val=""/>
      <w:lvlJc w:val="left"/>
      <w:pPr>
        <w:ind w:left="2127" w:firstLine="0"/>
      </w:pPr>
    </w:lvl>
    <w:lvl w:ilvl="6">
      <w:start w:val="1"/>
      <w:numFmt w:val="none"/>
      <w:suff w:val="nothing"/>
      <w:lvlText w:val=""/>
      <w:lvlJc w:val="left"/>
      <w:pPr>
        <w:ind w:left="2127" w:firstLine="0"/>
      </w:pPr>
    </w:lvl>
    <w:lvl w:ilvl="7">
      <w:start w:val="1"/>
      <w:numFmt w:val="none"/>
      <w:suff w:val="nothing"/>
      <w:lvlText w:val=""/>
      <w:lvlJc w:val="left"/>
      <w:pPr>
        <w:ind w:left="2127" w:firstLine="0"/>
      </w:pPr>
    </w:lvl>
    <w:lvl w:ilvl="8">
      <w:start w:val="1"/>
      <w:numFmt w:val="none"/>
      <w:suff w:val="nothing"/>
      <w:lvlText w:val=""/>
      <w:lvlJc w:val="left"/>
      <w:pPr>
        <w:ind w:left="2127" w:firstLine="0"/>
      </w:pPr>
    </w:lvl>
  </w:abstractNum>
  <w:abstractNum w:abstractNumId="7" w15:restartNumberingAfterBreak="0">
    <w:nsid w:val="34973C85"/>
    <w:multiLevelType w:val="hybridMultilevel"/>
    <w:tmpl w:val="2DDC9DC6"/>
    <w:lvl w:ilvl="0" w:tplc="1AA813D4">
      <w:numFmt w:val="bullet"/>
      <w:lvlText w:val=""/>
      <w:lvlJc w:val="left"/>
      <w:pPr>
        <w:ind w:left="1080" w:hanging="360"/>
      </w:pPr>
      <w:rPr>
        <w:rFonts w:ascii="Wingdings" w:eastAsiaTheme="minorHAnsi" w:hAnsi="Wingdings"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387102B0"/>
    <w:multiLevelType w:val="hybridMultilevel"/>
    <w:tmpl w:val="E23CC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24B1A"/>
    <w:multiLevelType w:val="hybridMultilevel"/>
    <w:tmpl w:val="276CAB66"/>
    <w:lvl w:ilvl="0" w:tplc="E33CFF78">
      <w:numFmt w:val="bullet"/>
      <w:lvlText w:val="-"/>
      <w:lvlJc w:val="left"/>
      <w:pPr>
        <w:ind w:left="1080" w:hanging="360"/>
      </w:pPr>
      <w:rPr>
        <w:rFonts w:ascii="Times New Roman" w:eastAsiaTheme="minorHAnsi"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4D7B1F27"/>
    <w:multiLevelType w:val="hybridMultilevel"/>
    <w:tmpl w:val="C562D6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524E2F81"/>
    <w:multiLevelType w:val="hybridMultilevel"/>
    <w:tmpl w:val="BE16F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DF745D"/>
    <w:multiLevelType w:val="hybridMultilevel"/>
    <w:tmpl w:val="997A804C"/>
    <w:lvl w:ilvl="0" w:tplc="00000007">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DB5346C"/>
    <w:multiLevelType w:val="hybridMultilevel"/>
    <w:tmpl w:val="634CF00E"/>
    <w:lvl w:ilvl="0" w:tplc="DE8C5AB0">
      <w:start w:val="1"/>
      <w:numFmt w:val="lowerLetter"/>
      <w:lvlText w:val="%1."/>
      <w:lvlJc w:val="left"/>
      <w:pPr>
        <w:ind w:left="1080" w:hanging="360"/>
      </w:pPr>
      <w:rPr>
        <w:rFonts w:eastAsiaTheme="minorHAns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3C36E00"/>
    <w:multiLevelType w:val="hybridMultilevel"/>
    <w:tmpl w:val="997A804C"/>
    <w:lvl w:ilvl="0" w:tplc="00000007">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5B6501E"/>
    <w:multiLevelType w:val="hybridMultilevel"/>
    <w:tmpl w:val="8C808602"/>
    <w:lvl w:ilvl="0" w:tplc="08090001">
      <w:start w:val="1"/>
      <w:numFmt w:val="bullet"/>
      <w:lvlText w:val=""/>
      <w:lvlJc w:val="left"/>
      <w:pPr>
        <w:ind w:left="1203" w:hanging="360"/>
      </w:pPr>
      <w:rPr>
        <w:rFonts w:ascii="Symbol" w:hAnsi="Symbol" w:hint="default"/>
      </w:rPr>
    </w:lvl>
    <w:lvl w:ilvl="1" w:tplc="08090003" w:tentative="1">
      <w:start w:val="1"/>
      <w:numFmt w:val="bullet"/>
      <w:lvlText w:val="o"/>
      <w:lvlJc w:val="left"/>
      <w:pPr>
        <w:ind w:left="1923" w:hanging="360"/>
      </w:pPr>
      <w:rPr>
        <w:rFonts w:ascii="Courier New" w:hAnsi="Courier New" w:cs="Courier New" w:hint="default"/>
      </w:rPr>
    </w:lvl>
    <w:lvl w:ilvl="2" w:tplc="08090005" w:tentative="1">
      <w:start w:val="1"/>
      <w:numFmt w:val="bullet"/>
      <w:lvlText w:val=""/>
      <w:lvlJc w:val="left"/>
      <w:pPr>
        <w:ind w:left="2643" w:hanging="360"/>
      </w:pPr>
      <w:rPr>
        <w:rFonts w:ascii="Wingdings" w:hAnsi="Wingdings" w:hint="default"/>
      </w:rPr>
    </w:lvl>
    <w:lvl w:ilvl="3" w:tplc="08090001" w:tentative="1">
      <w:start w:val="1"/>
      <w:numFmt w:val="bullet"/>
      <w:lvlText w:val=""/>
      <w:lvlJc w:val="left"/>
      <w:pPr>
        <w:ind w:left="3363" w:hanging="360"/>
      </w:pPr>
      <w:rPr>
        <w:rFonts w:ascii="Symbol" w:hAnsi="Symbol" w:hint="default"/>
      </w:rPr>
    </w:lvl>
    <w:lvl w:ilvl="4" w:tplc="08090003" w:tentative="1">
      <w:start w:val="1"/>
      <w:numFmt w:val="bullet"/>
      <w:lvlText w:val="o"/>
      <w:lvlJc w:val="left"/>
      <w:pPr>
        <w:ind w:left="4083" w:hanging="360"/>
      </w:pPr>
      <w:rPr>
        <w:rFonts w:ascii="Courier New" w:hAnsi="Courier New" w:cs="Courier New" w:hint="default"/>
      </w:rPr>
    </w:lvl>
    <w:lvl w:ilvl="5" w:tplc="08090005" w:tentative="1">
      <w:start w:val="1"/>
      <w:numFmt w:val="bullet"/>
      <w:lvlText w:val=""/>
      <w:lvlJc w:val="left"/>
      <w:pPr>
        <w:ind w:left="4803" w:hanging="360"/>
      </w:pPr>
      <w:rPr>
        <w:rFonts w:ascii="Wingdings" w:hAnsi="Wingdings" w:hint="default"/>
      </w:rPr>
    </w:lvl>
    <w:lvl w:ilvl="6" w:tplc="08090001" w:tentative="1">
      <w:start w:val="1"/>
      <w:numFmt w:val="bullet"/>
      <w:lvlText w:val=""/>
      <w:lvlJc w:val="left"/>
      <w:pPr>
        <w:ind w:left="5523" w:hanging="360"/>
      </w:pPr>
      <w:rPr>
        <w:rFonts w:ascii="Symbol" w:hAnsi="Symbol" w:hint="default"/>
      </w:rPr>
    </w:lvl>
    <w:lvl w:ilvl="7" w:tplc="08090003" w:tentative="1">
      <w:start w:val="1"/>
      <w:numFmt w:val="bullet"/>
      <w:lvlText w:val="o"/>
      <w:lvlJc w:val="left"/>
      <w:pPr>
        <w:ind w:left="6243" w:hanging="360"/>
      </w:pPr>
      <w:rPr>
        <w:rFonts w:ascii="Courier New" w:hAnsi="Courier New" w:cs="Courier New" w:hint="default"/>
      </w:rPr>
    </w:lvl>
    <w:lvl w:ilvl="8" w:tplc="08090005" w:tentative="1">
      <w:start w:val="1"/>
      <w:numFmt w:val="bullet"/>
      <w:lvlText w:val=""/>
      <w:lvlJc w:val="left"/>
      <w:pPr>
        <w:ind w:left="6963" w:hanging="360"/>
      </w:pPr>
      <w:rPr>
        <w:rFonts w:ascii="Wingdings" w:hAnsi="Wingdings" w:hint="default"/>
      </w:rPr>
    </w:lvl>
  </w:abstractNum>
  <w:abstractNum w:abstractNumId="16" w15:restartNumberingAfterBreak="0">
    <w:nsid w:val="6A7F4800"/>
    <w:multiLevelType w:val="hybridMultilevel"/>
    <w:tmpl w:val="C5C22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6A79A9"/>
    <w:multiLevelType w:val="hybridMultilevel"/>
    <w:tmpl w:val="C3D8DA46"/>
    <w:lvl w:ilvl="0" w:tplc="D3BC67B4">
      <w:start w:val="1"/>
      <w:numFmt w:val="lowerLetter"/>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7B009B"/>
    <w:multiLevelType w:val="hybridMultilevel"/>
    <w:tmpl w:val="865AA78C"/>
    <w:lvl w:ilvl="0" w:tplc="E7FC48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5807C2E"/>
    <w:multiLevelType w:val="hybridMultilevel"/>
    <w:tmpl w:val="997A804C"/>
    <w:lvl w:ilvl="0" w:tplc="00000007">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ED57D71"/>
    <w:multiLevelType w:val="hybridMultilevel"/>
    <w:tmpl w:val="8E4EC172"/>
    <w:lvl w:ilvl="0" w:tplc="12E2E610">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
  </w:num>
  <w:num w:numId="2">
    <w:abstractNumId w:val="0"/>
  </w:num>
  <w:num w:numId="3">
    <w:abstractNumId w:val="10"/>
  </w:num>
  <w:num w:numId="4">
    <w:abstractNumId w:val="6"/>
  </w:num>
  <w:num w:numId="5">
    <w:abstractNumId w:val="19"/>
  </w:num>
  <w:num w:numId="6">
    <w:abstractNumId w:val="12"/>
  </w:num>
  <w:num w:numId="7">
    <w:abstractNumId w:val="14"/>
  </w:num>
  <w:num w:numId="8">
    <w:abstractNumId w:val="9"/>
  </w:num>
  <w:num w:numId="9">
    <w:abstractNumId w:val="20"/>
  </w:num>
  <w:num w:numId="10">
    <w:abstractNumId w:val="17"/>
  </w:num>
  <w:num w:numId="11">
    <w:abstractNumId w:val="3"/>
  </w:num>
  <w:num w:numId="12">
    <w:abstractNumId w:val="13"/>
  </w:num>
  <w:num w:numId="13">
    <w:abstractNumId w:val="5"/>
  </w:num>
  <w:num w:numId="14">
    <w:abstractNumId w:val="18"/>
  </w:num>
  <w:num w:numId="15">
    <w:abstractNumId w:val="15"/>
  </w:num>
  <w:num w:numId="16">
    <w:abstractNumId w:val="4"/>
  </w:num>
  <w:num w:numId="17">
    <w:abstractNumId w:val="1"/>
  </w:num>
  <w:num w:numId="18">
    <w:abstractNumId w:val="7"/>
  </w:num>
  <w:num w:numId="19">
    <w:abstractNumId w:val="11"/>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939"/>
    <w:rsid w:val="000001E0"/>
    <w:rsid w:val="0000084D"/>
    <w:rsid w:val="0000104F"/>
    <w:rsid w:val="00001B64"/>
    <w:rsid w:val="00003C3B"/>
    <w:rsid w:val="00004097"/>
    <w:rsid w:val="00004448"/>
    <w:rsid w:val="0000479A"/>
    <w:rsid w:val="00004C8F"/>
    <w:rsid w:val="000050E3"/>
    <w:rsid w:val="00005836"/>
    <w:rsid w:val="00005E6E"/>
    <w:rsid w:val="00006A9B"/>
    <w:rsid w:val="00007527"/>
    <w:rsid w:val="0000761E"/>
    <w:rsid w:val="00010A14"/>
    <w:rsid w:val="0001256D"/>
    <w:rsid w:val="00015DC7"/>
    <w:rsid w:val="000168D5"/>
    <w:rsid w:val="00016F8D"/>
    <w:rsid w:val="00017B20"/>
    <w:rsid w:val="000217A3"/>
    <w:rsid w:val="000218C2"/>
    <w:rsid w:val="000226FC"/>
    <w:rsid w:val="00022B45"/>
    <w:rsid w:val="00022EF8"/>
    <w:rsid w:val="0002556A"/>
    <w:rsid w:val="000264A4"/>
    <w:rsid w:val="0002696A"/>
    <w:rsid w:val="00026D44"/>
    <w:rsid w:val="00027B47"/>
    <w:rsid w:val="00030C58"/>
    <w:rsid w:val="00030C9B"/>
    <w:rsid w:val="00030FD9"/>
    <w:rsid w:val="0003113B"/>
    <w:rsid w:val="0003265E"/>
    <w:rsid w:val="000326D3"/>
    <w:rsid w:val="000327D7"/>
    <w:rsid w:val="00032897"/>
    <w:rsid w:val="000329B2"/>
    <w:rsid w:val="00033CFF"/>
    <w:rsid w:val="0003415A"/>
    <w:rsid w:val="000345E4"/>
    <w:rsid w:val="00034C7C"/>
    <w:rsid w:val="000356E3"/>
    <w:rsid w:val="0003587A"/>
    <w:rsid w:val="00036158"/>
    <w:rsid w:val="000367AB"/>
    <w:rsid w:val="00036944"/>
    <w:rsid w:val="00036CE2"/>
    <w:rsid w:val="00037052"/>
    <w:rsid w:val="00037961"/>
    <w:rsid w:val="00041351"/>
    <w:rsid w:val="00042739"/>
    <w:rsid w:val="000428C6"/>
    <w:rsid w:val="00042D59"/>
    <w:rsid w:val="0004317C"/>
    <w:rsid w:val="00043471"/>
    <w:rsid w:val="000435E3"/>
    <w:rsid w:val="000443DE"/>
    <w:rsid w:val="00044D87"/>
    <w:rsid w:val="00045714"/>
    <w:rsid w:val="000458E5"/>
    <w:rsid w:val="00045AB0"/>
    <w:rsid w:val="00045B00"/>
    <w:rsid w:val="00045C49"/>
    <w:rsid w:val="00046C70"/>
    <w:rsid w:val="00046C7D"/>
    <w:rsid w:val="000479F6"/>
    <w:rsid w:val="00047EF2"/>
    <w:rsid w:val="00050E04"/>
    <w:rsid w:val="000516AB"/>
    <w:rsid w:val="00051AC6"/>
    <w:rsid w:val="00051AE3"/>
    <w:rsid w:val="00051CE1"/>
    <w:rsid w:val="00051E50"/>
    <w:rsid w:val="000528C0"/>
    <w:rsid w:val="00053427"/>
    <w:rsid w:val="000534D1"/>
    <w:rsid w:val="000536BD"/>
    <w:rsid w:val="00053722"/>
    <w:rsid w:val="0005392E"/>
    <w:rsid w:val="000539BB"/>
    <w:rsid w:val="00053F99"/>
    <w:rsid w:val="00054879"/>
    <w:rsid w:val="000552F6"/>
    <w:rsid w:val="00055C10"/>
    <w:rsid w:val="00056114"/>
    <w:rsid w:val="00056189"/>
    <w:rsid w:val="00056502"/>
    <w:rsid w:val="00056960"/>
    <w:rsid w:val="00056C81"/>
    <w:rsid w:val="000610FA"/>
    <w:rsid w:val="000619CA"/>
    <w:rsid w:val="00061BDA"/>
    <w:rsid w:val="00062113"/>
    <w:rsid w:val="0006217F"/>
    <w:rsid w:val="00062184"/>
    <w:rsid w:val="00062B47"/>
    <w:rsid w:val="0006560E"/>
    <w:rsid w:val="00065919"/>
    <w:rsid w:val="00066C24"/>
    <w:rsid w:val="0006770B"/>
    <w:rsid w:val="00070614"/>
    <w:rsid w:val="00070D74"/>
    <w:rsid w:val="00071446"/>
    <w:rsid w:val="000726A0"/>
    <w:rsid w:val="00072C55"/>
    <w:rsid w:val="000736E7"/>
    <w:rsid w:val="00073C23"/>
    <w:rsid w:val="00073CE7"/>
    <w:rsid w:val="00073E87"/>
    <w:rsid w:val="00074BEE"/>
    <w:rsid w:val="00075C26"/>
    <w:rsid w:val="00075CB1"/>
    <w:rsid w:val="00076398"/>
    <w:rsid w:val="000769A8"/>
    <w:rsid w:val="0007768E"/>
    <w:rsid w:val="00077C94"/>
    <w:rsid w:val="000807FC"/>
    <w:rsid w:val="0008106A"/>
    <w:rsid w:val="00081DED"/>
    <w:rsid w:val="000830D1"/>
    <w:rsid w:val="00084C98"/>
    <w:rsid w:val="00084D4C"/>
    <w:rsid w:val="0008516E"/>
    <w:rsid w:val="0008566B"/>
    <w:rsid w:val="00085B17"/>
    <w:rsid w:val="00085ED7"/>
    <w:rsid w:val="000861B7"/>
    <w:rsid w:val="00086BAB"/>
    <w:rsid w:val="00086D3F"/>
    <w:rsid w:val="00087226"/>
    <w:rsid w:val="00087456"/>
    <w:rsid w:val="00087D8D"/>
    <w:rsid w:val="000908DC"/>
    <w:rsid w:val="000909E4"/>
    <w:rsid w:val="0009171A"/>
    <w:rsid w:val="00091ABD"/>
    <w:rsid w:val="00091D79"/>
    <w:rsid w:val="00091DAC"/>
    <w:rsid w:val="000921EE"/>
    <w:rsid w:val="00092F9F"/>
    <w:rsid w:val="000944A5"/>
    <w:rsid w:val="000946AC"/>
    <w:rsid w:val="000946F3"/>
    <w:rsid w:val="000952AD"/>
    <w:rsid w:val="000953EE"/>
    <w:rsid w:val="00096354"/>
    <w:rsid w:val="00096362"/>
    <w:rsid w:val="00096406"/>
    <w:rsid w:val="00096830"/>
    <w:rsid w:val="00096B89"/>
    <w:rsid w:val="000974DE"/>
    <w:rsid w:val="0009757E"/>
    <w:rsid w:val="00097EDC"/>
    <w:rsid w:val="000A01EE"/>
    <w:rsid w:val="000A0312"/>
    <w:rsid w:val="000A0530"/>
    <w:rsid w:val="000A078B"/>
    <w:rsid w:val="000A0A62"/>
    <w:rsid w:val="000A4100"/>
    <w:rsid w:val="000A56B4"/>
    <w:rsid w:val="000A6301"/>
    <w:rsid w:val="000A6AB8"/>
    <w:rsid w:val="000A742C"/>
    <w:rsid w:val="000A7AA3"/>
    <w:rsid w:val="000B262D"/>
    <w:rsid w:val="000B2B58"/>
    <w:rsid w:val="000B2C8A"/>
    <w:rsid w:val="000B2E7D"/>
    <w:rsid w:val="000B3F66"/>
    <w:rsid w:val="000B4D68"/>
    <w:rsid w:val="000B4F5E"/>
    <w:rsid w:val="000B515E"/>
    <w:rsid w:val="000B5344"/>
    <w:rsid w:val="000B545E"/>
    <w:rsid w:val="000B57E8"/>
    <w:rsid w:val="000B5B84"/>
    <w:rsid w:val="000B5C2C"/>
    <w:rsid w:val="000B5E9C"/>
    <w:rsid w:val="000B6A43"/>
    <w:rsid w:val="000B6C82"/>
    <w:rsid w:val="000B6E64"/>
    <w:rsid w:val="000B7133"/>
    <w:rsid w:val="000B72AC"/>
    <w:rsid w:val="000C31BC"/>
    <w:rsid w:val="000C32D4"/>
    <w:rsid w:val="000C37FC"/>
    <w:rsid w:val="000C38F1"/>
    <w:rsid w:val="000C4308"/>
    <w:rsid w:val="000C4D3E"/>
    <w:rsid w:val="000C659D"/>
    <w:rsid w:val="000C6993"/>
    <w:rsid w:val="000D1289"/>
    <w:rsid w:val="000D1EA1"/>
    <w:rsid w:val="000D2C07"/>
    <w:rsid w:val="000D3608"/>
    <w:rsid w:val="000D3907"/>
    <w:rsid w:val="000D40AB"/>
    <w:rsid w:val="000D5509"/>
    <w:rsid w:val="000D63A5"/>
    <w:rsid w:val="000D7094"/>
    <w:rsid w:val="000E000C"/>
    <w:rsid w:val="000E02B5"/>
    <w:rsid w:val="000E09E8"/>
    <w:rsid w:val="000E0F7D"/>
    <w:rsid w:val="000E1B4A"/>
    <w:rsid w:val="000E20FE"/>
    <w:rsid w:val="000E21AA"/>
    <w:rsid w:val="000E21F8"/>
    <w:rsid w:val="000E2200"/>
    <w:rsid w:val="000E252B"/>
    <w:rsid w:val="000E285C"/>
    <w:rsid w:val="000E2BE8"/>
    <w:rsid w:val="000E34B1"/>
    <w:rsid w:val="000E3ABE"/>
    <w:rsid w:val="000E4175"/>
    <w:rsid w:val="000E428F"/>
    <w:rsid w:val="000E445D"/>
    <w:rsid w:val="000E4AA4"/>
    <w:rsid w:val="000E4FD6"/>
    <w:rsid w:val="000E5A82"/>
    <w:rsid w:val="000E5CC2"/>
    <w:rsid w:val="000E5EF0"/>
    <w:rsid w:val="000E610D"/>
    <w:rsid w:val="000E6442"/>
    <w:rsid w:val="000E6450"/>
    <w:rsid w:val="000F0D67"/>
    <w:rsid w:val="000F10B9"/>
    <w:rsid w:val="000F10D8"/>
    <w:rsid w:val="000F1285"/>
    <w:rsid w:val="000F12EF"/>
    <w:rsid w:val="000F15AC"/>
    <w:rsid w:val="000F16EB"/>
    <w:rsid w:val="000F1B85"/>
    <w:rsid w:val="000F24EF"/>
    <w:rsid w:val="000F2D78"/>
    <w:rsid w:val="000F351A"/>
    <w:rsid w:val="000F3580"/>
    <w:rsid w:val="000F36CE"/>
    <w:rsid w:val="000F3A33"/>
    <w:rsid w:val="000F3E96"/>
    <w:rsid w:val="000F40A6"/>
    <w:rsid w:val="000F4A9E"/>
    <w:rsid w:val="000F56DD"/>
    <w:rsid w:val="000F581F"/>
    <w:rsid w:val="000F642F"/>
    <w:rsid w:val="00101FBB"/>
    <w:rsid w:val="00102C4A"/>
    <w:rsid w:val="00103601"/>
    <w:rsid w:val="00103F21"/>
    <w:rsid w:val="00104480"/>
    <w:rsid w:val="00104829"/>
    <w:rsid w:val="00104F94"/>
    <w:rsid w:val="00105331"/>
    <w:rsid w:val="001053DE"/>
    <w:rsid w:val="00105A43"/>
    <w:rsid w:val="00105A4F"/>
    <w:rsid w:val="00105C77"/>
    <w:rsid w:val="00106C40"/>
    <w:rsid w:val="0010730F"/>
    <w:rsid w:val="00107538"/>
    <w:rsid w:val="001076C4"/>
    <w:rsid w:val="00107B47"/>
    <w:rsid w:val="00110109"/>
    <w:rsid w:val="0011200A"/>
    <w:rsid w:val="001129BC"/>
    <w:rsid w:val="00113697"/>
    <w:rsid w:val="001141C0"/>
    <w:rsid w:val="0011455A"/>
    <w:rsid w:val="0011529C"/>
    <w:rsid w:val="00115552"/>
    <w:rsid w:val="001158F5"/>
    <w:rsid w:val="00115E1D"/>
    <w:rsid w:val="00116194"/>
    <w:rsid w:val="001207EE"/>
    <w:rsid w:val="00121A52"/>
    <w:rsid w:val="00121C8E"/>
    <w:rsid w:val="00122094"/>
    <w:rsid w:val="00122CA4"/>
    <w:rsid w:val="0012429C"/>
    <w:rsid w:val="00124DDD"/>
    <w:rsid w:val="00124E96"/>
    <w:rsid w:val="001259FE"/>
    <w:rsid w:val="001263D3"/>
    <w:rsid w:val="001265DD"/>
    <w:rsid w:val="00126FA0"/>
    <w:rsid w:val="00127596"/>
    <w:rsid w:val="00127619"/>
    <w:rsid w:val="001301B7"/>
    <w:rsid w:val="00130788"/>
    <w:rsid w:val="00130D62"/>
    <w:rsid w:val="00131267"/>
    <w:rsid w:val="00131C12"/>
    <w:rsid w:val="00131DAE"/>
    <w:rsid w:val="00132A75"/>
    <w:rsid w:val="00132D2E"/>
    <w:rsid w:val="00133EEF"/>
    <w:rsid w:val="00136DE7"/>
    <w:rsid w:val="00137358"/>
    <w:rsid w:val="00137B50"/>
    <w:rsid w:val="00137EAC"/>
    <w:rsid w:val="00140787"/>
    <w:rsid w:val="00142A38"/>
    <w:rsid w:val="00142E29"/>
    <w:rsid w:val="00144A5E"/>
    <w:rsid w:val="00144C33"/>
    <w:rsid w:val="00144D83"/>
    <w:rsid w:val="00145FE2"/>
    <w:rsid w:val="00146234"/>
    <w:rsid w:val="00146667"/>
    <w:rsid w:val="00146698"/>
    <w:rsid w:val="00146AFD"/>
    <w:rsid w:val="001471B9"/>
    <w:rsid w:val="00147515"/>
    <w:rsid w:val="00147725"/>
    <w:rsid w:val="00150172"/>
    <w:rsid w:val="00150BC6"/>
    <w:rsid w:val="001512E9"/>
    <w:rsid w:val="00151D53"/>
    <w:rsid w:val="00152ABE"/>
    <w:rsid w:val="00153172"/>
    <w:rsid w:val="0015336D"/>
    <w:rsid w:val="0015339C"/>
    <w:rsid w:val="00153DFE"/>
    <w:rsid w:val="001560CE"/>
    <w:rsid w:val="00156327"/>
    <w:rsid w:val="0015640C"/>
    <w:rsid w:val="0015682B"/>
    <w:rsid w:val="001572D2"/>
    <w:rsid w:val="001576B1"/>
    <w:rsid w:val="00157836"/>
    <w:rsid w:val="001616B9"/>
    <w:rsid w:val="00161727"/>
    <w:rsid w:val="001619C6"/>
    <w:rsid w:val="00161D84"/>
    <w:rsid w:val="00161DFF"/>
    <w:rsid w:val="00163452"/>
    <w:rsid w:val="00163F42"/>
    <w:rsid w:val="00165101"/>
    <w:rsid w:val="0016677C"/>
    <w:rsid w:val="00166822"/>
    <w:rsid w:val="00167742"/>
    <w:rsid w:val="00167EF6"/>
    <w:rsid w:val="00170E5C"/>
    <w:rsid w:val="001727D6"/>
    <w:rsid w:val="00172C1D"/>
    <w:rsid w:val="001730C5"/>
    <w:rsid w:val="00173101"/>
    <w:rsid w:val="001757F8"/>
    <w:rsid w:val="001759A0"/>
    <w:rsid w:val="0017693A"/>
    <w:rsid w:val="00177AD0"/>
    <w:rsid w:val="001800D3"/>
    <w:rsid w:val="00181651"/>
    <w:rsid w:val="00181D43"/>
    <w:rsid w:val="001831DB"/>
    <w:rsid w:val="001841A9"/>
    <w:rsid w:val="001841BD"/>
    <w:rsid w:val="001843EC"/>
    <w:rsid w:val="001848D1"/>
    <w:rsid w:val="001852C4"/>
    <w:rsid w:val="00185929"/>
    <w:rsid w:val="001864ED"/>
    <w:rsid w:val="0018684E"/>
    <w:rsid w:val="001869B6"/>
    <w:rsid w:val="00187554"/>
    <w:rsid w:val="001876EA"/>
    <w:rsid w:val="00187CE1"/>
    <w:rsid w:val="00190CC7"/>
    <w:rsid w:val="00190E3C"/>
    <w:rsid w:val="00191656"/>
    <w:rsid w:val="00191DB0"/>
    <w:rsid w:val="00192ABA"/>
    <w:rsid w:val="0019355B"/>
    <w:rsid w:val="00193965"/>
    <w:rsid w:val="00193A8D"/>
    <w:rsid w:val="00193A8E"/>
    <w:rsid w:val="00193B9B"/>
    <w:rsid w:val="00194638"/>
    <w:rsid w:val="00194F75"/>
    <w:rsid w:val="001952C3"/>
    <w:rsid w:val="00195CCD"/>
    <w:rsid w:val="00196513"/>
    <w:rsid w:val="00197509"/>
    <w:rsid w:val="00197BE5"/>
    <w:rsid w:val="00197CF2"/>
    <w:rsid w:val="001A0975"/>
    <w:rsid w:val="001A0DE4"/>
    <w:rsid w:val="001A168C"/>
    <w:rsid w:val="001A2D0F"/>
    <w:rsid w:val="001A2DA3"/>
    <w:rsid w:val="001A3233"/>
    <w:rsid w:val="001A3ABC"/>
    <w:rsid w:val="001A3EE6"/>
    <w:rsid w:val="001A400F"/>
    <w:rsid w:val="001A44C1"/>
    <w:rsid w:val="001A4515"/>
    <w:rsid w:val="001A4628"/>
    <w:rsid w:val="001A4D82"/>
    <w:rsid w:val="001A53B4"/>
    <w:rsid w:val="001A5B70"/>
    <w:rsid w:val="001B16F4"/>
    <w:rsid w:val="001B2549"/>
    <w:rsid w:val="001B2F70"/>
    <w:rsid w:val="001B3926"/>
    <w:rsid w:val="001B3B91"/>
    <w:rsid w:val="001B3FEE"/>
    <w:rsid w:val="001B64DA"/>
    <w:rsid w:val="001B6E68"/>
    <w:rsid w:val="001B739D"/>
    <w:rsid w:val="001C097E"/>
    <w:rsid w:val="001C2EFB"/>
    <w:rsid w:val="001C3005"/>
    <w:rsid w:val="001C49B7"/>
    <w:rsid w:val="001C5021"/>
    <w:rsid w:val="001C53BD"/>
    <w:rsid w:val="001C5BAA"/>
    <w:rsid w:val="001C5F51"/>
    <w:rsid w:val="001C6692"/>
    <w:rsid w:val="001C670D"/>
    <w:rsid w:val="001C7411"/>
    <w:rsid w:val="001D0F0D"/>
    <w:rsid w:val="001D1A8A"/>
    <w:rsid w:val="001D2191"/>
    <w:rsid w:val="001D25A5"/>
    <w:rsid w:val="001D2925"/>
    <w:rsid w:val="001D2AEC"/>
    <w:rsid w:val="001D2FE9"/>
    <w:rsid w:val="001D35F3"/>
    <w:rsid w:val="001D36A8"/>
    <w:rsid w:val="001D5233"/>
    <w:rsid w:val="001D54F1"/>
    <w:rsid w:val="001D5CE5"/>
    <w:rsid w:val="001D5E1A"/>
    <w:rsid w:val="001D608F"/>
    <w:rsid w:val="001D7565"/>
    <w:rsid w:val="001D79B8"/>
    <w:rsid w:val="001E01C9"/>
    <w:rsid w:val="001E0832"/>
    <w:rsid w:val="001E0CBE"/>
    <w:rsid w:val="001E184F"/>
    <w:rsid w:val="001E1AAB"/>
    <w:rsid w:val="001E1BF7"/>
    <w:rsid w:val="001E2945"/>
    <w:rsid w:val="001E2EA7"/>
    <w:rsid w:val="001E32FC"/>
    <w:rsid w:val="001E34A6"/>
    <w:rsid w:val="001E3F21"/>
    <w:rsid w:val="001E3F44"/>
    <w:rsid w:val="001E49E7"/>
    <w:rsid w:val="001E4D56"/>
    <w:rsid w:val="001E51CC"/>
    <w:rsid w:val="001E521E"/>
    <w:rsid w:val="001E5B79"/>
    <w:rsid w:val="001E5C4B"/>
    <w:rsid w:val="001E5FFD"/>
    <w:rsid w:val="001E6F3B"/>
    <w:rsid w:val="001E7066"/>
    <w:rsid w:val="001E79B8"/>
    <w:rsid w:val="001F0170"/>
    <w:rsid w:val="001F06F4"/>
    <w:rsid w:val="001F2EA7"/>
    <w:rsid w:val="001F384B"/>
    <w:rsid w:val="001F3C7C"/>
    <w:rsid w:val="001F3CA2"/>
    <w:rsid w:val="001F3FA5"/>
    <w:rsid w:val="001F45EB"/>
    <w:rsid w:val="001F559E"/>
    <w:rsid w:val="001F563F"/>
    <w:rsid w:val="001F5668"/>
    <w:rsid w:val="001F5940"/>
    <w:rsid w:val="001F5F09"/>
    <w:rsid w:val="001F62C1"/>
    <w:rsid w:val="001F66CC"/>
    <w:rsid w:val="001F69C1"/>
    <w:rsid w:val="001F6DC2"/>
    <w:rsid w:val="001F6DE2"/>
    <w:rsid w:val="001F7D9E"/>
    <w:rsid w:val="002001A6"/>
    <w:rsid w:val="002005D8"/>
    <w:rsid w:val="00200A4A"/>
    <w:rsid w:val="00200F11"/>
    <w:rsid w:val="00201FE2"/>
    <w:rsid w:val="002024BD"/>
    <w:rsid w:val="002024E4"/>
    <w:rsid w:val="00202884"/>
    <w:rsid w:val="00202F8A"/>
    <w:rsid w:val="002033A9"/>
    <w:rsid w:val="00203656"/>
    <w:rsid w:val="00203AE7"/>
    <w:rsid w:val="00203F8D"/>
    <w:rsid w:val="002057EE"/>
    <w:rsid w:val="00207289"/>
    <w:rsid w:val="00210213"/>
    <w:rsid w:val="00210CB7"/>
    <w:rsid w:val="002116F6"/>
    <w:rsid w:val="002120D3"/>
    <w:rsid w:val="00212645"/>
    <w:rsid w:val="00213E40"/>
    <w:rsid w:val="00213F3C"/>
    <w:rsid w:val="002153F7"/>
    <w:rsid w:val="00215D89"/>
    <w:rsid w:val="0021612B"/>
    <w:rsid w:val="00217061"/>
    <w:rsid w:val="002170DD"/>
    <w:rsid w:val="00217105"/>
    <w:rsid w:val="00217A67"/>
    <w:rsid w:val="00220A05"/>
    <w:rsid w:val="0022208D"/>
    <w:rsid w:val="002225DA"/>
    <w:rsid w:val="00222898"/>
    <w:rsid w:val="0022334F"/>
    <w:rsid w:val="00224CB9"/>
    <w:rsid w:val="00224E48"/>
    <w:rsid w:val="002265B4"/>
    <w:rsid w:val="00226A4F"/>
    <w:rsid w:val="0022776B"/>
    <w:rsid w:val="002300B8"/>
    <w:rsid w:val="002300BF"/>
    <w:rsid w:val="00230344"/>
    <w:rsid w:val="002307B3"/>
    <w:rsid w:val="00230945"/>
    <w:rsid w:val="00231A8B"/>
    <w:rsid w:val="00233025"/>
    <w:rsid w:val="00235A61"/>
    <w:rsid w:val="00236370"/>
    <w:rsid w:val="002400A0"/>
    <w:rsid w:val="002408C3"/>
    <w:rsid w:val="00240C5F"/>
    <w:rsid w:val="002410A0"/>
    <w:rsid w:val="002411D8"/>
    <w:rsid w:val="0024134F"/>
    <w:rsid w:val="00241723"/>
    <w:rsid w:val="00241DCA"/>
    <w:rsid w:val="00241F38"/>
    <w:rsid w:val="0024248A"/>
    <w:rsid w:val="002436E0"/>
    <w:rsid w:val="00243D89"/>
    <w:rsid w:val="00244C1B"/>
    <w:rsid w:val="00244EF7"/>
    <w:rsid w:val="00244FC3"/>
    <w:rsid w:val="0024682D"/>
    <w:rsid w:val="00246BB1"/>
    <w:rsid w:val="00246E79"/>
    <w:rsid w:val="002478DB"/>
    <w:rsid w:val="002501B2"/>
    <w:rsid w:val="0025020D"/>
    <w:rsid w:val="00250815"/>
    <w:rsid w:val="00250A48"/>
    <w:rsid w:val="002515E4"/>
    <w:rsid w:val="002517B6"/>
    <w:rsid w:val="00252F62"/>
    <w:rsid w:val="0025382B"/>
    <w:rsid w:val="00254283"/>
    <w:rsid w:val="00254DFA"/>
    <w:rsid w:val="00255B5C"/>
    <w:rsid w:val="00255C0F"/>
    <w:rsid w:val="00256346"/>
    <w:rsid w:val="002563DB"/>
    <w:rsid w:val="002567DC"/>
    <w:rsid w:val="00257531"/>
    <w:rsid w:val="00261336"/>
    <w:rsid w:val="00261524"/>
    <w:rsid w:val="0026217F"/>
    <w:rsid w:val="0026346D"/>
    <w:rsid w:val="0026371A"/>
    <w:rsid w:val="00263E70"/>
    <w:rsid w:val="00264161"/>
    <w:rsid w:val="00264E2D"/>
    <w:rsid w:val="002662C9"/>
    <w:rsid w:val="0026645E"/>
    <w:rsid w:val="002665B9"/>
    <w:rsid w:val="00266C6B"/>
    <w:rsid w:val="00266EB2"/>
    <w:rsid w:val="00266EDE"/>
    <w:rsid w:val="00267677"/>
    <w:rsid w:val="00267866"/>
    <w:rsid w:val="0027006D"/>
    <w:rsid w:val="002703DE"/>
    <w:rsid w:val="00270E2A"/>
    <w:rsid w:val="00271290"/>
    <w:rsid w:val="002713EA"/>
    <w:rsid w:val="002715E8"/>
    <w:rsid w:val="0027190F"/>
    <w:rsid w:val="00271916"/>
    <w:rsid w:val="00271BF0"/>
    <w:rsid w:val="00271E9D"/>
    <w:rsid w:val="00272FD0"/>
    <w:rsid w:val="002737A1"/>
    <w:rsid w:val="00274233"/>
    <w:rsid w:val="00274DFF"/>
    <w:rsid w:val="00275EF4"/>
    <w:rsid w:val="002769B3"/>
    <w:rsid w:val="002772FB"/>
    <w:rsid w:val="0027749A"/>
    <w:rsid w:val="00277718"/>
    <w:rsid w:val="00277C77"/>
    <w:rsid w:val="00280EBA"/>
    <w:rsid w:val="0028151E"/>
    <w:rsid w:val="0028157B"/>
    <w:rsid w:val="002820B4"/>
    <w:rsid w:val="00282A85"/>
    <w:rsid w:val="00282F2C"/>
    <w:rsid w:val="0028382E"/>
    <w:rsid w:val="00283D95"/>
    <w:rsid w:val="0028418C"/>
    <w:rsid w:val="002843B0"/>
    <w:rsid w:val="002847AF"/>
    <w:rsid w:val="00284DFF"/>
    <w:rsid w:val="00285463"/>
    <w:rsid w:val="002856EF"/>
    <w:rsid w:val="002860CA"/>
    <w:rsid w:val="00286F44"/>
    <w:rsid w:val="00287981"/>
    <w:rsid w:val="00291618"/>
    <w:rsid w:val="002919BB"/>
    <w:rsid w:val="00292B72"/>
    <w:rsid w:val="002931FB"/>
    <w:rsid w:val="00293873"/>
    <w:rsid w:val="00293957"/>
    <w:rsid w:val="00293AAF"/>
    <w:rsid w:val="00294882"/>
    <w:rsid w:val="00294AFD"/>
    <w:rsid w:val="002954C7"/>
    <w:rsid w:val="00295DE7"/>
    <w:rsid w:val="00295E97"/>
    <w:rsid w:val="00296A84"/>
    <w:rsid w:val="00297116"/>
    <w:rsid w:val="00297886"/>
    <w:rsid w:val="00297FC9"/>
    <w:rsid w:val="002A03C2"/>
    <w:rsid w:val="002A098B"/>
    <w:rsid w:val="002A15EA"/>
    <w:rsid w:val="002A1816"/>
    <w:rsid w:val="002A23FB"/>
    <w:rsid w:val="002A2721"/>
    <w:rsid w:val="002A2C38"/>
    <w:rsid w:val="002A3280"/>
    <w:rsid w:val="002A34DC"/>
    <w:rsid w:val="002A3AA4"/>
    <w:rsid w:val="002A480B"/>
    <w:rsid w:val="002A5925"/>
    <w:rsid w:val="002A6861"/>
    <w:rsid w:val="002A6D20"/>
    <w:rsid w:val="002A710A"/>
    <w:rsid w:val="002A7507"/>
    <w:rsid w:val="002A7ED0"/>
    <w:rsid w:val="002B0AFF"/>
    <w:rsid w:val="002B1EA4"/>
    <w:rsid w:val="002B22DF"/>
    <w:rsid w:val="002B2929"/>
    <w:rsid w:val="002B2E4C"/>
    <w:rsid w:val="002B32A2"/>
    <w:rsid w:val="002B38FB"/>
    <w:rsid w:val="002B44E1"/>
    <w:rsid w:val="002B47E2"/>
    <w:rsid w:val="002B48E1"/>
    <w:rsid w:val="002B4E34"/>
    <w:rsid w:val="002B5958"/>
    <w:rsid w:val="002B5AB7"/>
    <w:rsid w:val="002B632E"/>
    <w:rsid w:val="002B797E"/>
    <w:rsid w:val="002B7CB8"/>
    <w:rsid w:val="002B7CDB"/>
    <w:rsid w:val="002C05C4"/>
    <w:rsid w:val="002C0A23"/>
    <w:rsid w:val="002C1020"/>
    <w:rsid w:val="002C185B"/>
    <w:rsid w:val="002C2128"/>
    <w:rsid w:val="002C2136"/>
    <w:rsid w:val="002C5EE4"/>
    <w:rsid w:val="002C64F1"/>
    <w:rsid w:val="002C6BF0"/>
    <w:rsid w:val="002C6C16"/>
    <w:rsid w:val="002C7203"/>
    <w:rsid w:val="002C732E"/>
    <w:rsid w:val="002C7746"/>
    <w:rsid w:val="002C7AC0"/>
    <w:rsid w:val="002D0518"/>
    <w:rsid w:val="002D1137"/>
    <w:rsid w:val="002D2BC5"/>
    <w:rsid w:val="002D2F7D"/>
    <w:rsid w:val="002D4C7F"/>
    <w:rsid w:val="002D5101"/>
    <w:rsid w:val="002D5921"/>
    <w:rsid w:val="002D5EB4"/>
    <w:rsid w:val="002D634C"/>
    <w:rsid w:val="002D742B"/>
    <w:rsid w:val="002D7E3A"/>
    <w:rsid w:val="002E0D5B"/>
    <w:rsid w:val="002E10AE"/>
    <w:rsid w:val="002E35E5"/>
    <w:rsid w:val="002E3E1A"/>
    <w:rsid w:val="002E3E5B"/>
    <w:rsid w:val="002E4423"/>
    <w:rsid w:val="002E6386"/>
    <w:rsid w:val="002E70A5"/>
    <w:rsid w:val="002E774E"/>
    <w:rsid w:val="002E7E2F"/>
    <w:rsid w:val="002F09AC"/>
    <w:rsid w:val="002F0BE2"/>
    <w:rsid w:val="002F1AB2"/>
    <w:rsid w:val="002F219C"/>
    <w:rsid w:val="002F3D32"/>
    <w:rsid w:val="002F3D3C"/>
    <w:rsid w:val="002F4847"/>
    <w:rsid w:val="002F4CFD"/>
    <w:rsid w:val="002F5D8C"/>
    <w:rsid w:val="002F5EA0"/>
    <w:rsid w:val="002F6161"/>
    <w:rsid w:val="002F76D1"/>
    <w:rsid w:val="002F798A"/>
    <w:rsid w:val="002F7A17"/>
    <w:rsid w:val="00300480"/>
    <w:rsid w:val="0030058B"/>
    <w:rsid w:val="00300673"/>
    <w:rsid w:val="003006AF"/>
    <w:rsid w:val="00300AB9"/>
    <w:rsid w:val="00301A5C"/>
    <w:rsid w:val="003026D0"/>
    <w:rsid w:val="00303187"/>
    <w:rsid w:val="00303766"/>
    <w:rsid w:val="00303B5A"/>
    <w:rsid w:val="00303CD3"/>
    <w:rsid w:val="00304877"/>
    <w:rsid w:val="00304ED5"/>
    <w:rsid w:val="003054B5"/>
    <w:rsid w:val="003056BA"/>
    <w:rsid w:val="00305A54"/>
    <w:rsid w:val="00306D5E"/>
    <w:rsid w:val="00307061"/>
    <w:rsid w:val="00307AEE"/>
    <w:rsid w:val="00307D73"/>
    <w:rsid w:val="00310266"/>
    <w:rsid w:val="003105F5"/>
    <w:rsid w:val="00310E96"/>
    <w:rsid w:val="003121A1"/>
    <w:rsid w:val="0031366F"/>
    <w:rsid w:val="003136F2"/>
    <w:rsid w:val="003138A9"/>
    <w:rsid w:val="003143F3"/>
    <w:rsid w:val="00314769"/>
    <w:rsid w:val="003148DD"/>
    <w:rsid w:val="00315F0F"/>
    <w:rsid w:val="00316321"/>
    <w:rsid w:val="003163BB"/>
    <w:rsid w:val="0031675F"/>
    <w:rsid w:val="00316AC9"/>
    <w:rsid w:val="00316AEA"/>
    <w:rsid w:val="00316BFE"/>
    <w:rsid w:val="00317DD1"/>
    <w:rsid w:val="003210E3"/>
    <w:rsid w:val="0032244F"/>
    <w:rsid w:val="00322CC4"/>
    <w:rsid w:val="003236AE"/>
    <w:rsid w:val="00323877"/>
    <w:rsid w:val="00324397"/>
    <w:rsid w:val="00326431"/>
    <w:rsid w:val="0032643C"/>
    <w:rsid w:val="003265B9"/>
    <w:rsid w:val="003266A9"/>
    <w:rsid w:val="00326A49"/>
    <w:rsid w:val="00326D00"/>
    <w:rsid w:val="00327ECD"/>
    <w:rsid w:val="003301F3"/>
    <w:rsid w:val="0033034D"/>
    <w:rsid w:val="0033059D"/>
    <w:rsid w:val="00332E4F"/>
    <w:rsid w:val="00334B03"/>
    <w:rsid w:val="00334B7B"/>
    <w:rsid w:val="00334E93"/>
    <w:rsid w:val="0033564E"/>
    <w:rsid w:val="00336416"/>
    <w:rsid w:val="00336FCF"/>
    <w:rsid w:val="003370DA"/>
    <w:rsid w:val="0034086E"/>
    <w:rsid w:val="003415CD"/>
    <w:rsid w:val="0034331F"/>
    <w:rsid w:val="00343384"/>
    <w:rsid w:val="0034338A"/>
    <w:rsid w:val="0034555E"/>
    <w:rsid w:val="003458FA"/>
    <w:rsid w:val="00345B1C"/>
    <w:rsid w:val="00345D7F"/>
    <w:rsid w:val="0034630B"/>
    <w:rsid w:val="00346DE2"/>
    <w:rsid w:val="0035063E"/>
    <w:rsid w:val="003507E4"/>
    <w:rsid w:val="00350CF9"/>
    <w:rsid w:val="00352EA4"/>
    <w:rsid w:val="00353716"/>
    <w:rsid w:val="00353986"/>
    <w:rsid w:val="00353C40"/>
    <w:rsid w:val="00353C4A"/>
    <w:rsid w:val="00354214"/>
    <w:rsid w:val="0035558E"/>
    <w:rsid w:val="0035573A"/>
    <w:rsid w:val="003557E1"/>
    <w:rsid w:val="003558FF"/>
    <w:rsid w:val="00355917"/>
    <w:rsid w:val="003566B9"/>
    <w:rsid w:val="003576A4"/>
    <w:rsid w:val="00357B19"/>
    <w:rsid w:val="003608A0"/>
    <w:rsid w:val="003616D4"/>
    <w:rsid w:val="00361B40"/>
    <w:rsid w:val="00361D6C"/>
    <w:rsid w:val="0036209A"/>
    <w:rsid w:val="00362442"/>
    <w:rsid w:val="0036275C"/>
    <w:rsid w:val="00362D51"/>
    <w:rsid w:val="00363021"/>
    <w:rsid w:val="00363D0B"/>
    <w:rsid w:val="0036420F"/>
    <w:rsid w:val="003646E1"/>
    <w:rsid w:val="00364820"/>
    <w:rsid w:val="0036597D"/>
    <w:rsid w:val="00365E85"/>
    <w:rsid w:val="00365EB0"/>
    <w:rsid w:val="00367497"/>
    <w:rsid w:val="003675E7"/>
    <w:rsid w:val="003705CF"/>
    <w:rsid w:val="00371296"/>
    <w:rsid w:val="00372781"/>
    <w:rsid w:val="00372EA8"/>
    <w:rsid w:val="003738B4"/>
    <w:rsid w:val="00375297"/>
    <w:rsid w:val="003760BF"/>
    <w:rsid w:val="00376170"/>
    <w:rsid w:val="00376D60"/>
    <w:rsid w:val="003773E4"/>
    <w:rsid w:val="003804F4"/>
    <w:rsid w:val="003811F5"/>
    <w:rsid w:val="003840CA"/>
    <w:rsid w:val="00384D88"/>
    <w:rsid w:val="00386E74"/>
    <w:rsid w:val="00386FC5"/>
    <w:rsid w:val="003904FD"/>
    <w:rsid w:val="003912BF"/>
    <w:rsid w:val="003913DA"/>
    <w:rsid w:val="00391E6B"/>
    <w:rsid w:val="00392099"/>
    <w:rsid w:val="003926CB"/>
    <w:rsid w:val="00392A30"/>
    <w:rsid w:val="00392C19"/>
    <w:rsid w:val="0039317A"/>
    <w:rsid w:val="003931E2"/>
    <w:rsid w:val="00393C37"/>
    <w:rsid w:val="00393E38"/>
    <w:rsid w:val="003941FD"/>
    <w:rsid w:val="00394A52"/>
    <w:rsid w:val="00394CA6"/>
    <w:rsid w:val="00395CF9"/>
    <w:rsid w:val="003961F3"/>
    <w:rsid w:val="0039637B"/>
    <w:rsid w:val="00396D19"/>
    <w:rsid w:val="00397625"/>
    <w:rsid w:val="0039793C"/>
    <w:rsid w:val="00397F66"/>
    <w:rsid w:val="00397FE8"/>
    <w:rsid w:val="003A04C9"/>
    <w:rsid w:val="003A108D"/>
    <w:rsid w:val="003A117B"/>
    <w:rsid w:val="003A1251"/>
    <w:rsid w:val="003A1259"/>
    <w:rsid w:val="003A157E"/>
    <w:rsid w:val="003A19F2"/>
    <w:rsid w:val="003A3748"/>
    <w:rsid w:val="003A3A7A"/>
    <w:rsid w:val="003A3B23"/>
    <w:rsid w:val="003A3B92"/>
    <w:rsid w:val="003A3F5D"/>
    <w:rsid w:val="003A4260"/>
    <w:rsid w:val="003A47F0"/>
    <w:rsid w:val="003A4D56"/>
    <w:rsid w:val="003A5464"/>
    <w:rsid w:val="003A55AA"/>
    <w:rsid w:val="003A5A79"/>
    <w:rsid w:val="003A5CDC"/>
    <w:rsid w:val="003B2039"/>
    <w:rsid w:val="003B22EC"/>
    <w:rsid w:val="003B26C4"/>
    <w:rsid w:val="003B288F"/>
    <w:rsid w:val="003B2E1C"/>
    <w:rsid w:val="003B2E48"/>
    <w:rsid w:val="003B3461"/>
    <w:rsid w:val="003B3A11"/>
    <w:rsid w:val="003B4536"/>
    <w:rsid w:val="003B47AB"/>
    <w:rsid w:val="003B4CD4"/>
    <w:rsid w:val="003B58C9"/>
    <w:rsid w:val="003B5DA1"/>
    <w:rsid w:val="003C073C"/>
    <w:rsid w:val="003C08E9"/>
    <w:rsid w:val="003C0CFE"/>
    <w:rsid w:val="003C11FA"/>
    <w:rsid w:val="003C1B0B"/>
    <w:rsid w:val="003C2893"/>
    <w:rsid w:val="003C362C"/>
    <w:rsid w:val="003C3878"/>
    <w:rsid w:val="003C3AF3"/>
    <w:rsid w:val="003C6679"/>
    <w:rsid w:val="003C73E1"/>
    <w:rsid w:val="003D0931"/>
    <w:rsid w:val="003D0DB6"/>
    <w:rsid w:val="003D169A"/>
    <w:rsid w:val="003D17A5"/>
    <w:rsid w:val="003D1968"/>
    <w:rsid w:val="003D2205"/>
    <w:rsid w:val="003D2398"/>
    <w:rsid w:val="003D28D6"/>
    <w:rsid w:val="003D3A2E"/>
    <w:rsid w:val="003D4162"/>
    <w:rsid w:val="003D4437"/>
    <w:rsid w:val="003D554D"/>
    <w:rsid w:val="003D564D"/>
    <w:rsid w:val="003D5657"/>
    <w:rsid w:val="003D5F90"/>
    <w:rsid w:val="003D6EFA"/>
    <w:rsid w:val="003D7508"/>
    <w:rsid w:val="003D7572"/>
    <w:rsid w:val="003E051F"/>
    <w:rsid w:val="003E12F0"/>
    <w:rsid w:val="003E293C"/>
    <w:rsid w:val="003E3103"/>
    <w:rsid w:val="003E3A21"/>
    <w:rsid w:val="003E3E63"/>
    <w:rsid w:val="003E487D"/>
    <w:rsid w:val="003E5246"/>
    <w:rsid w:val="003E5323"/>
    <w:rsid w:val="003E5367"/>
    <w:rsid w:val="003E53CF"/>
    <w:rsid w:val="003E6D20"/>
    <w:rsid w:val="003E7607"/>
    <w:rsid w:val="003E7909"/>
    <w:rsid w:val="003E7E75"/>
    <w:rsid w:val="003F0518"/>
    <w:rsid w:val="003F057C"/>
    <w:rsid w:val="003F083F"/>
    <w:rsid w:val="003F0F0A"/>
    <w:rsid w:val="003F15EC"/>
    <w:rsid w:val="003F1625"/>
    <w:rsid w:val="003F1F5B"/>
    <w:rsid w:val="003F237B"/>
    <w:rsid w:val="003F328C"/>
    <w:rsid w:val="003F3476"/>
    <w:rsid w:val="003F5525"/>
    <w:rsid w:val="003F573D"/>
    <w:rsid w:val="003F5FA7"/>
    <w:rsid w:val="003F67D4"/>
    <w:rsid w:val="003F729E"/>
    <w:rsid w:val="004000BD"/>
    <w:rsid w:val="0040113C"/>
    <w:rsid w:val="0040115D"/>
    <w:rsid w:val="00402573"/>
    <w:rsid w:val="00403C44"/>
    <w:rsid w:val="00403FE5"/>
    <w:rsid w:val="00404B6E"/>
    <w:rsid w:val="00404F4D"/>
    <w:rsid w:val="0040772F"/>
    <w:rsid w:val="0040793E"/>
    <w:rsid w:val="00407D40"/>
    <w:rsid w:val="00410D5A"/>
    <w:rsid w:val="00412068"/>
    <w:rsid w:val="00412431"/>
    <w:rsid w:val="004126E5"/>
    <w:rsid w:val="00412B30"/>
    <w:rsid w:val="00413980"/>
    <w:rsid w:val="004142C2"/>
    <w:rsid w:val="00414DE0"/>
    <w:rsid w:val="00415C33"/>
    <w:rsid w:val="00416ADD"/>
    <w:rsid w:val="0041707B"/>
    <w:rsid w:val="004178BD"/>
    <w:rsid w:val="0042137C"/>
    <w:rsid w:val="00422429"/>
    <w:rsid w:val="00422D7B"/>
    <w:rsid w:val="00423627"/>
    <w:rsid w:val="004237C8"/>
    <w:rsid w:val="004237CE"/>
    <w:rsid w:val="00424071"/>
    <w:rsid w:val="004248F4"/>
    <w:rsid w:val="00425F48"/>
    <w:rsid w:val="00426E19"/>
    <w:rsid w:val="00430549"/>
    <w:rsid w:val="0043075C"/>
    <w:rsid w:val="00431AFA"/>
    <w:rsid w:val="00431C09"/>
    <w:rsid w:val="00432489"/>
    <w:rsid w:val="00432751"/>
    <w:rsid w:val="00433049"/>
    <w:rsid w:val="00433707"/>
    <w:rsid w:val="00433FFB"/>
    <w:rsid w:val="00434507"/>
    <w:rsid w:val="00434E14"/>
    <w:rsid w:val="00436B59"/>
    <w:rsid w:val="0043731F"/>
    <w:rsid w:val="00437C2F"/>
    <w:rsid w:val="00437E9A"/>
    <w:rsid w:val="00440E70"/>
    <w:rsid w:val="004422D4"/>
    <w:rsid w:val="00442991"/>
    <w:rsid w:val="004440ED"/>
    <w:rsid w:val="0044429E"/>
    <w:rsid w:val="00444D83"/>
    <w:rsid w:val="0044544F"/>
    <w:rsid w:val="00445AA8"/>
    <w:rsid w:val="0044629C"/>
    <w:rsid w:val="004468F8"/>
    <w:rsid w:val="004471F0"/>
    <w:rsid w:val="0044726A"/>
    <w:rsid w:val="004479C5"/>
    <w:rsid w:val="00447D98"/>
    <w:rsid w:val="00447FCE"/>
    <w:rsid w:val="0045058B"/>
    <w:rsid w:val="004507F1"/>
    <w:rsid w:val="00451755"/>
    <w:rsid w:val="00451EDC"/>
    <w:rsid w:val="00452610"/>
    <w:rsid w:val="004526B3"/>
    <w:rsid w:val="00452CF1"/>
    <w:rsid w:val="004530CD"/>
    <w:rsid w:val="00453617"/>
    <w:rsid w:val="00456784"/>
    <w:rsid w:val="0045779B"/>
    <w:rsid w:val="004579E4"/>
    <w:rsid w:val="00460857"/>
    <w:rsid w:val="00460AA8"/>
    <w:rsid w:val="00460F62"/>
    <w:rsid w:val="004610DB"/>
    <w:rsid w:val="004634D9"/>
    <w:rsid w:val="0046377C"/>
    <w:rsid w:val="00463838"/>
    <w:rsid w:val="00463901"/>
    <w:rsid w:val="00463F1E"/>
    <w:rsid w:val="004641D0"/>
    <w:rsid w:val="004647BB"/>
    <w:rsid w:val="004659C3"/>
    <w:rsid w:val="00465FE9"/>
    <w:rsid w:val="00466780"/>
    <w:rsid w:val="00466995"/>
    <w:rsid w:val="00471779"/>
    <w:rsid w:val="004724D2"/>
    <w:rsid w:val="00474195"/>
    <w:rsid w:val="004749BC"/>
    <w:rsid w:val="00474B93"/>
    <w:rsid w:val="00475149"/>
    <w:rsid w:val="0047533E"/>
    <w:rsid w:val="0047709F"/>
    <w:rsid w:val="00477263"/>
    <w:rsid w:val="004807DC"/>
    <w:rsid w:val="0048085B"/>
    <w:rsid w:val="00480ADC"/>
    <w:rsid w:val="004811E8"/>
    <w:rsid w:val="0048121E"/>
    <w:rsid w:val="00482051"/>
    <w:rsid w:val="004822F7"/>
    <w:rsid w:val="00482369"/>
    <w:rsid w:val="00482B6D"/>
    <w:rsid w:val="00482ED0"/>
    <w:rsid w:val="00483DCF"/>
    <w:rsid w:val="00483DEB"/>
    <w:rsid w:val="004841E5"/>
    <w:rsid w:val="00484412"/>
    <w:rsid w:val="00484DF3"/>
    <w:rsid w:val="0048577E"/>
    <w:rsid w:val="004865D5"/>
    <w:rsid w:val="004866AC"/>
    <w:rsid w:val="0048757C"/>
    <w:rsid w:val="00487ABD"/>
    <w:rsid w:val="00487DBF"/>
    <w:rsid w:val="00490859"/>
    <w:rsid w:val="00490BEB"/>
    <w:rsid w:val="00491E5B"/>
    <w:rsid w:val="0049237B"/>
    <w:rsid w:val="00493A19"/>
    <w:rsid w:val="00493AC4"/>
    <w:rsid w:val="004966AC"/>
    <w:rsid w:val="00496DA7"/>
    <w:rsid w:val="00497A3D"/>
    <w:rsid w:val="004A0095"/>
    <w:rsid w:val="004A0275"/>
    <w:rsid w:val="004A04DD"/>
    <w:rsid w:val="004A07CA"/>
    <w:rsid w:val="004A1AAE"/>
    <w:rsid w:val="004A1E67"/>
    <w:rsid w:val="004A1EDB"/>
    <w:rsid w:val="004A208E"/>
    <w:rsid w:val="004A25B8"/>
    <w:rsid w:val="004A28D0"/>
    <w:rsid w:val="004A2A69"/>
    <w:rsid w:val="004A3E27"/>
    <w:rsid w:val="004A48D3"/>
    <w:rsid w:val="004A5B52"/>
    <w:rsid w:val="004A6C31"/>
    <w:rsid w:val="004A7954"/>
    <w:rsid w:val="004A79FE"/>
    <w:rsid w:val="004A7C71"/>
    <w:rsid w:val="004A7C99"/>
    <w:rsid w:val="004B039A"/>
    <w:rsid w:val="004B08A1"/>
    <w:rsid w:val="004B0F73"/>
    <w:rsid w:val="004B1039"/>
    <w:rsid w:val="004B1DD4"/>
    <w:rsid w:val="004B2064"/>
    <w:rsid w:val="004B2354"/>
    <w:rsid w:val="004B3B24"/>
    <w:rsid w:val="004B40AF"/>
    <w:rsid w:val="004B5179"/>
    <w:rsid w:val="004B545A"/>
    <w:rsid w:val="004B562D"/>
    <w:rsid w:val="004B5E4B"/>
    <w:rsid w:val="004B60B0"/>
    <w:rsid w:val="004B61F8"/>
    <w:rsid w:val="004B62AA"/>
    <w:rsid w:val="004B6446"/>
    <w:rsid w:val="004B76E1"/>
    <w:rsid w:val="004C0189"/>
    <w:rsid w:val="004C04BB"/>
    <w:rsid w:val="004C0BD8"/>
    <w:rsid w:val="004C0D95"/>
    <w:rsid w:val="004C10E2"/>
    <w:rsid w:val="004C1497"/>
    <w:rsid w:val="004C1754"/>
    <w:rsid w:val="004C1B4F"/>
    <w:rsid w:val="004C285A"/>
    <w:rsid w:val="004C3ADB"/>
    <w:rsid w:val="004C3CC2"/>
    <w:rsid w:val="004C410C"/>
    <w:rsid w:val="004C5269"/>
    <w:rsid w:val="004C6C0D"/>
    <w:rsid w:val="004C7C6B"/>
    <w:rsid w:val="004D0D38"/>
    <w:rsid w:val="004D10E6"/>
    <w:rsid w:val="004D1452"/>
    <w:rsid w:val="004D1BDA"/>
    <w:rsid w:val="004D2658"/>
    <w:rsid w:val="004D3273"/>
    <w:rsid w:val="004D335B"/>
    <w:rsid w:val="004D4290"/>
    <w:rsid w:val="004D4B00"/>
    <w:rsid w:val="004D536B"/>
    <w:rsid w:val="004D5427"/>
    <w:rsid w:val="004D5573"/>
    <w:rsid w:val="004D6E9F"/>
    <w:rsid w:val="004D7763"/>
    <w:rsid w:val="004D7C57"/>
    <w:rsid w:val="004E0A39"/>
    <w:rsid w:val="004E0D2F"/>
    <w:rsid w:val="004E14AC"/>
    <w:rsid w:val="004E1782"/>
    <w:rsid w:val="004E17BF"/>
    <w:rsid w:val="004E1AC6"/>
    <w:rsid w:val="004E1C13"/>
    <w:rsid w:val="004E1FBA"/>
    <w:rsid w:val="004E24FA"/>
    <w:rsid w:val="004E3248"/>
    <w:rsid w:val="004E326E"/>
    <w:rsid w:val="004E354A"/>
    <w:rsid w:val="004E4559"/>
    <w:rsid w:val="004E45BC"/>
    <w:rsid w:val="004E6340"/>
    <w:rsid w:val="004E698B"/>
    <w:rsid w:val="004E7283"/>
    <w:rsid w:val="004E7452"/>
    <w:rsid w:val="004E7A2F"/>
    <w:rsid w:val="004F0568"/>
    <w:rsid w:val="004F1166"/>
    <w:rsid w:val="004F11B8"/>
    <w:rsid w:val="004F1311"/>
    <w:rsid w:val="004F250E"/>
    <w:rsid w:val="004F2AD6"/>
    <w:rsid w:val="004F340B"/>
    <w:rsid w:val="004F4022"/>
    <w:rsid w:val="004F49D9"/>
    <w:rsid w:val="004F53CF"/>
    <w:rsid w:val="004F6E54"/>
    <w:rsid w:val="004F7586"/>
    <w:rsid w:val="00500A93"/>
    <w:rsid w:val="00501A00"/>
    <w:rsid w:val="00501EE6"/>
    <w:rsid w:val="005027DA"/>
    <w:rsid w:val="0050391F"/>
    <w:rsid w:val="0050399E"/>
    <w:rsid w:val="00503F7B"/>
    <w:rsid w:val="00504110"/>
    <w:rsid w:val="005043ED"/>
    <w:rsid w:val="00505451"/>
    <w:rsid w:val="00506208"/>
    <w:rsid w:val="00506608"/>
    <w:rsid w:val="00506A5D"/>
    <w:rsid w:val="005073EB"/>
    <w:rsid w:val="00507CC9"/>
    <w:rsid w:val="00507FC8"/>
    <w:rsid w:val="00511191"/>
    <w:rsid w:val="00511B3F"/>
    <w:rsid w:val="005123D9"/>
    <w:rsid w:val="00512782"/>
    <w:rsid w:val="00512B35"/>
    <w:rsid w:val="00512B9A"/>
    <w:rsid w:val="00513C4A"/>
    <w:rsid w:val="00513E2B"/>
    <w:rsid w:val="00513F2E"/>
    <w:rsid w:val="0051546D"/>
    <w:rsid w:val="0051651D"/>
    <w:rsid w:val="0051694F"/>
    <w:rsid w:val="00517209"/>
    <w:rsid w:val="00517232"/>
    <w:rsid w:val="005179D7"/>
    <w:rsid w:val="00517E9E"/>
    <w:rsid w:val="0052099F"/>
    <w:rsid w:val="00520DF7"/>
    <w:rsid w:val="0052187C"/>
    <w:rsid w:val="0052261B"/>
    <w:rsid w:val="00522788"/>
    <w:rsid w:val="00522DA1"/>
    <w:rsid w:val="005230ED"/>
    <w:rsid w:val="005231FE"/>
    <w:rsid w:val="00524407"/>
    <w:rsid w:val="00524B60"/>
    <w:rsid w:val="00525A36"/>
    <w:rsid w:val="00525B12"/>
    <w:rsid w:val="00526825"/>
    <w:rsid w:val="00526C0C"/>
    <w:rsid w:val="005275D8"/>
    <w:rsid w:val="00527603"/>
    <w:rsid w:val="00527CDE"/>
    <w:rsid w:val="00530377"/>
    <w:rsid w:val="00530D9F"/>
    <w:rsid w:val="00531A88"/>
    <w:rsid w:val="00532034"/>
    <w:rsid w:val="00532E9B"/>
    <w:rsid w:val="0053398E"/>
    <w:rsid w:val="005348E1"/>
    <w:rsid w:val="00534BA4"/>
    <w:rsid w:val="0053556C"/>
    <w:rsid w:val="005363DF"/>
    <w:rsid w:val="00536E8A"/>
    <w:rsid w:val="00537455"/>
    <w:rsid w:val="00540A5F"/>
    <w:rsid w:val="0054177C"/>
    <w:rsid w:val="00541895"/>
    <w:rsid w:val="00541D02"/>
    <w:rsid w:val="00541FD0"/>
    <w:rsid w:val="00542AE3"/>
    <w:rsid w:val="00542BDD"/>
    <w:rsid w:val="00542C3F"/>
    <w:rsid w:val="00543881"/>
    <w:rsid w:val="00543E78"/>
    <w:rsid w:val="00545A2E"/>
    <w:rsid w:val="00545C93"/>
    <w:rsid w:val="0055083E"/>
    <w:rsid w:val="005511CC"/>
    <w:rsid w:val="00551596"/>
    <w:rsid w:val="00551B20"/>
    <w:rsid w:val="00551B7A"/>
    <w:rsid w:val="0055221A"/>
    <w:rsid w:val="00552B7A"/>
    <w:rsid w:val="00554444"/>
    <w:rsid w:val="005544B9"/>
    <w:rsid w:val="0055457D"/>
    <w:rsid w:val="00555AC5"/>
    <w:rsid w:val="005560BF"/>
    <w:rsid w:val="00556D9D"/>
    <w:rsid w:val="005570F2"/>
    <w:rsid w:val="0055713D"/>
    <w:rsid w:val="00557DC0"/>
    <w:rsid w:val="00557F99"/>
    <w:rsid w:val="00560591"/>
    <w:rsid w:val="005608E5"/>
    <w:rsid w:val="0056094C"/>
    <w:rsid w:val="005613AE"/>
    <w:rsid w:val="00561469"/>
    <w:rsid w:val="00561CB6"/>
    <w:rsid w:val="00561CE0"/>
    <w:rsid w:val="00562A8D"/>
    <w:rsid w:val="005669E1"/>
    <w:rsid w:val="00566A48"/>
    <w:rsid w:val="00566A85"/>
    <w:rsid w:val="00566FF8"/>
    <w:rsid w:val="005675B9"/>
    <w:rsid w:val="00567ABB"/>
    <w:rsid w:val="00567C1D"/>
    <w:rsid w:val="00567E76"/>
    <w:rsid w:val="00571167"/>
    <w:rsid w:val="00571625"/>
    <w:rsid w:val="00571D8B"/>
    <w:rsid w:val="00571FB9"/>
    <w:rsid w:val="005723A8"/>
    <w:rsid w:val="00572B33"/>
    <w:rsid w:val="00572FAA"/>
    <w:rsid w:val="005737BF"/>
    <w:rsid w:val="00573E14"/>
    <w:rsid w:val="00574155"/>
    <w:rsid w:val="00576A19"/>
    <w:rsid w:val="00576F3B"/>
    <w:rsid w:val="0057751B"/>
    <w:rsid w:val="005775D5"/>
    <w:rsid w:val="00580536"/>
    <w:rsid w:val="00580BF3"/>
    <w:rsid w:val="00580FFE"/>
    <w:rsid w:val="005812A5"/>
    <w:rsid w:val="00581BF8"/>
    <w:rsid w:val="00581DCA"/>
    <w:rsid w:val="0058274B"/>
    <w:rsid w:val="00583F03"/>
    <w:rsid w:val="00585209"/>
    <w:rsid w:val="005852EF"/>
    <w:rsid w:val="005862EB"/>
    <w:rsid w:val="00590D31"/>
    <w:rsid w:val="00591E11"/>
    <w:rsid w:val="005930B2"/>
    <w:rsid w:val="00593228"/>
    <w:rsid w:val="005932C0"/>
    <w:rsid w:val="00593359"/>
    <w:rsid w:val="00593715"/>
    <w:rsid w:val="00593E64"/>
    <w:rsid w:val="00593FCE"/>
    <w:rsid w:val="005950FB"/>
    <w:rsid w:val="00595172"/>
    <w:rsid w:val="0059536F"/>
    <w:rsid w:val="005953AD"/>
    <w:rsid w:val="0059563B"/>
    <w:rsid w:val="005956EB"/>
    <w:rsid w:val="005959F6"/>
    <w:rsid w:val="005965D6"/>
    <w:rsid w:val="00596763"/>
    <w:rsid w:val="00597512"/>
    <w:rsid w:val="005A0E5D"/>
    <w:rsid w:val="005A1742"/>
    <w:rsid w:val="005A22C3"/>
    <w:rsid w:val="005A263F"/>
    <w:rsid w:val="005A2DDC"/>
    <w:rsid w:val="005A37C3"/>
    <w:rsid w:val="005A418A"/>
    <w:rsid w:val="005A499A"/>
    <w:rsid w:val="005A4D25"/>
    <w:rsid w:val="005A52A9"/>
    <w:rsid w:val="005A53F8"/>
    <w:rsid w:val="005A561B"/>
    <w:rsid w:val="005A5771"/>
    <w:rsid w:val="005A57D8"/>
    <w:rsid w:val="005A5DEE"/>
    <w:rsid w:val="005A7668"/>
    <w:rsid w:val="005A788F"/>
    <w:rsid w:val="005B0138"/>
    <w:rsid w:val="005B013D"/>
    <w:rsid w:val="005B16C9"/>
    <w:rsid w:val="005B2408"/>
    <w:rsid w:val="005B2D13"/>
    <w:rsid w:val="005B2D84"/>
    <w:rsid w:val="005B40D0"/>
    <w:rsid w:val="005B43B0"/>
    <w:rsid w:val="005B4961"/>
    <w:rsid w:val="005B4EF4"/>
    <w:rsid w:val="005B5733"/>
    <w:rsid w:val="005B595D"/>
    <w:rsid w:val="005B7578"/>
    <w:rsid w:val="005C0A4D"/>
    <w:rsid w:val="005C101B"/>
    <w:rsid w:val="005C132A"/>
    <w:rsid w:val="005C147B"/>
    <w:rsid w:val="005C249E"/>
    <w:rsid w:val="005C28BF"/>
    <w:rsid w:val="005C2E68"/>
    <w:rsid w:val="005C3C08"/>
    <w:rsid w:val="005C5FA1"/>
    <w:rsid w:val="005C635D"/>
    <w:rsid w:val="005C68BD"/>
    <w:rsid w:val="005C69C2"/>
    <w:rsid w:val="005C7117"/>
    <w:rsid w:val="005C7450"/>
    <w:rsid w:val="005C7C90"/>
    <w:rsid w:val="005D0D34"/>
    <w:rsid w:val="005D0F54"/>
    <w:rsid w:val="005D15B1"/>
    <w:rsid w:val="005D1DB5"/>
    <w:rsid w:val="005D2304"/>
    <w:rsid w:val="005D2F33"/>
    <w:rsid w:val="005D32B0"/>
    <w:rsid w:val="005D380D"/>
    <w:rsid w:val="005D3A29"/>
    <w:rsid w:val="005D5638"/>
    <w:rsid w:val="005D5830"/>
    <w:rsid w:val="005D5AFF"/>
    <w:rsid w:val="005D5F54"/>
    <w:rsid w:val="005D647D"/>
    <w:rsid w:val="005D6AC3"/>
    <w:rsid w:val="005D6C0A"/>
    <w:rsid w:val="005D6F3B"/>
    <w:rsid w:val="005E025C"/>
    <w:rsid w:val="005E0799"/>
    <w:rsid w:val="005E14AF"/>
    <w:rsid w:val="005E17FC"/>
    <w:rsid w:val="005E1DA8"/>
    <w:rsid w:val="005E2461"/>
    <w:rsid w:val="005E2763"/>
    <w:rsid w:val="005E28FA"/>
    <w:rsid w:val="005E3023"/>
    <w:rsid w:val="005E391F"/>
    <w:rsid w:val="005E3A38"/>
    <w:rsid w:val="005E3B4A"/>
    <w:rsid w:val="005E3D74"/>
    <w:rsid w:val="005E4E72"/>
    <w:rsid w:val="005E50BA"/>
    <w:rsid w:val="005E54A5"/>
    <w:rsid w:val="005E57EF"/>
    <w:rsid w:val="005E5E17"/>
    <w:rsid w:val="005E625C"/>
    <w:rsid w:val="005E6674"/>
    <w:rsid w:val="005E6D3D"/>
    <w:rsid w:val="005E6FC4"/>
    <w:rsid w:val="005E750D"/>
    <w:rsid w:val="005E7BB4"/>
    <w:rsid w:val="005F011D"/>
    <w:rsid w:val="005F05EA"/>
    <w:rsid w:val="005F267B"/>
    <w:rsid w:val="005F299C"/>
    <w:rsid w:val="005F43A0"/>
    <w:rsid w:val="005F493E"/>
    <w:rsid w:val="005F4CEA"/>
    <w:rsid w:val="005F5674"/>
    <w:rsid w:val="005F5E6E"/>
    <w:rsid w:val="005F60BB"/>
    <w:rsid w:val="005F6675"/>
    <w:rsid w:val="005F796A"/>
    <w:rsid w:val="00600214"/>
    <w:rsid w:val="0060095F"/>
    <w:rsid w:val="00601564"/>
    <w:rsid w:val="00601E90"/>
    <w:rsid w:val="00602602"/>
    <w:rsid w:val="00602A01"/>
    <w:rsid w:val="00603733"/>
    <w:rsid w:val="00605D0A"/>
    <w:rsid w:val="006060A6"/>
    <w:rsid w:val="0060686F"/>
    <w:rsid w:val="00606913"/>
    <w:rsid w:val="0060751A"/>
    <w:rsid w:val="00607689"/>
    <w:rsid w:val="006076EF"/>
    <w:rsid w:val="006106AB"/>
    <w:rsid w:val="006107BE"/>
    <w:rsid w:val="00610AF9"/>
    <w:rsid w:val="00612117"/>
    <w:rsid w:val="006129FB"/>
    <w:rsid w:val="006131B7"/>
    <w:rsid w:val="006134DA"/>
    <w:rsid w:val="00614D1F"/>
    <w:rsid w:val="00614D30"/>
    <w:rsid w:val="00614F1B"/>
    <w:rsid w:val="00615515"/>
    <w:rsid w:val="00615A7F"/>
    <w:rsid w:val="006172E3"/>
    <w:rsid w:val="0062016D"/>
    <w:rsid w:val="006201D5"/>
    <w:rsid w:val="0062133F"/>
    <w:rsid w:val="006215F6"/>
    <w:rsid w:val="0062170B"/>
    <w:rsid w:val="0062173A"/>
    <w:rsid w:val="00621CCE"/>
    <w:rsid w:val="006228D3"/>
    <w:rsid w:val="00622A97"/>
    <w:rsid w:val="00623210"/>
    <w:rsid w:val="00623537"/>
    <w:rsid w:val="00623EFF"/>
    <w:rsid w:val="00625183"/>
    <w:rsid w:val="0062615C"/>
    <w:rsid w:val="006269B9"/>
    <w:rsid w:val="00626C37"/>
    <w:rsid w:val="006272CD"/>
    <w:rsid w:val="00627300"/>
    <w:rsid w:val="006311A8"/>
    <w:rsid w:val="006313AF"/>
    <w:rsid w:val="00632354"/>
    <w:rsid w:val="0063241C"/>
    <w:rsid w:val="006326F4"/>
    <w:rsid w:val="00632976"/>
    <w:rsid w:val="0063606A"/>
    <w:rsid w:val="0063717F"/>
    <w:rsid w:val="0063738A"/>
    <w:rsid w:val="006378FF"/>
    <w:rsid w:val="00637B3B"/>
    <w:rsid w:val="00637E9E"/>
    <w:rsid w:val="0064037D"/>
    <w:rsid w:val="00640AF8"/>
    <w:rsid w:val="00642449"/>
    <w:rsid w:val="00642FD7"/>
    <w:rsid w:val="006433A1"/>
    <w:rsid w:val="00643781"/>
    <w:rsid w:val="00644269"/>
    <w:rsid w:val="00645475"/>
    <w:rsid w:val="00646E72"/>
    <w:rsid w:val="0064761B"/>
    <w:rsid w:val="006478B9"/>
    <w:rsid w:val="0065026F"/>
    <w:rsid w:val="0065072B"/>
    <w:rsid w:val="00651170"/>
    <w:rsid w:val="00651F6D"/>
    <w:rsid w:val="00653021"/>
    <w:rsid w:val="0065305E"/>
    <w:rsid w:val="0065399D"/>
    <w:rsid w:val="00654290"/>
    <w:rsid w:val="006545F9"/>
    <w:rsid w:val="00654CF6"/>
    <w:rsid w:val="00656131"/>
    <w:rsid w:val="00656A9C"/>
    <w:rsid w:val="006574CF"/>
    <w:rsid w:val="00657524"/>
    <w:rsid w:val="00657E74"/>
    <w:rsid w:val="006609E4"/>
    <w:rsid w:val="00660A96"/>
    <w:rsid w:val="00661ABB"/>
    <w:rsid w:val="006621E2"/>
    <w:rsid w:val="00662B74"/>
    <w:rsid w:val="00663350"/>
    <w:rsid w:val="00663915"/>
    <w:rsid w:val="00663E33"/>
    <w:rsid w:val="006649C8"/>
    <w:rsid w:val="0066550C"/>
    <w:rsid w:val="00665762"/>
    <w:rsid w:val="00665BFF"/>
    <w:rsid w:val="006661F7"/>
    <w:rsid w:val="00666379"/>
    <w:rsid w:val="006663B4"/>
    <w:rsid w:val="0067067C"/>
    <w:rsid w:val="006707BB"/>
    <w:rsid w:val="00670A9E"/>
    <w:rsid w:val="00670D02"/>
    <w:rsid w:val="006714F7"/>
    <w:rsid w:val="00671876"/>
    <w:rsid w:val="00671E16"/>
    <w:rsid w:val="006731E9"/>
    <w:rsid w:val="00673828"/>
    <w:rsid w:val="00673996"/>
    <w:rsid w:val="00673EBF"/>
    <w:rsid w:val="00674FC2"/>
    <w:rsid w:val="00675611"/>
    <w:rsid w:val="00675CF5"/>
    <w:rsid w:val="00676085"/>
    <w:rsid w:val="006763CD"/>
    <w:rsid w:val="00676AF3"/>
    <w:rsid w:val="00677753"/>
    <w:rsid w:val="006778B0"/>
    <w:rsid w:val="0068029F"/>
    <w:rsid w:val="006811B9"/>
    <w:rsid w:val="0068156F"/>
    <w:rsid w:val="006828D6"/>
    <w:rsid w:val="006829DA"/>
    <w:rsid w:val="00682C52"/>
    <w:rsid w:val="00683027"/>
    <w:rsid w:val="0068381A"/>
    <w:rsid w:val="00683FDD"/>
    <w:rsid w:val="006852C2"/>
    <w:rsid w:val="00685539"/>
    <w:rsid w:val="006856B4"/>
    <w:rsid w:val="00685D9B"/>
    <w:rsid w:val="00685F22"/>
    <w:rsid w:val="00686D7D"/>
    <w:rsid w:val="00686FA8"/>
    <w:rsid w:val="00687848"/>
    <w:rsid w:val="006911CD"/>
    <w:rsid w:val="0069197D"/>
    <w:rsid w:val="00691ED5"/>
    <w:rsid w:val="006926AA"/>
    <w:rsid w:val="006936F7"/>
    <w:rsid w:val="00693E79"/>
    <w:rsid w:val="006946E3"/>
    <w:rsid w:val="0069588C"/>
    <w:rsid w:val="0069689C"/>
    <w:rsid w:val="006969F8"/>
    <w:rsid w:val="0069704E"/>
    <w:rsid w:val="00697EBD"/>
    <w:rsid w:val="006A11E7"/>
    <w:rsid w:val="006A35E6"/>
    <w:rsid w:val="006A3CF7"/>
    <w:rsid w:val="006A3E7D"/>
    <w:rsid w:val="006A3F07"/>
    <w:rsid w:val="006A3F66"/>
    <w:rsid w:val="006A40BF"/>
    <w:rsid w:val="006A6D5B"/>
    <w:rsid w:val="006A7003"/>
    <w:rsid w:val="006B0C3A"/>
    <w:rsid w:val="006B0F2B"/>
    <w:rsid w:val="006B159E"/>
    <w:rsid w:val="006B16BB"/>
    <w:rsid w:val="006B311C"/>
    <w:rsid w:val="006B4B5B"/>
    <w:rsid w:val="006B533A"/>
    <w:rsid w:val="006B5FD4"/>
    <w:rsid w:val="006B6B8B"/>
    <w:rsid w:val="006B6CFD"/>
    <w:rsid w:val="006B7044"/>
    <w:rsid w:val="006B70B8"/>
    <w:rsid w:val="006B78B3"/>
    <w:rsid w:val="006B7974"/>
    <w:rsid w:val="006C0737"/>
    <w:rsid w:val="006C22A2"/>
    <w:rsid w:val="006C3D2E"/>
    <w:rsid w:val="006C4B9C"/>
    <w:rsid w:val="006C503D"/>
    <w:rsid w:val="006C5BCF"/>
    <w:rsid w:val="006C670F"/>
    <w:rsid w:val="006C6B75"/>
    <w:rsid w:val="006D03E2"/>
    <w:rsid w:val="006D0D28"/>
    <w:rsid w:val="006D19D0"/>
    <w:rsid w:val="006D2D3D"/>
    <w:rsid w:val="006D2EAF"/>
    <w:rsid w:val="006D2EDA"/>
    <w:rsid w:val="006D3321"/>
    <w:rsid w:val="006D555E"/>
    <w:rsid w:val="006D5C95"/>
    <w:rsid w:val="006D5DA3"/>
    <w:rsid w:val="006D63A1"/>
    <w:rsid w:val="006D6551"/>
    <w:rsid w:val="006D6A35"/>
    <w:rsid w:val="006D6B72"/>
    <w:rsid w:val="006D6C15"/>
    <w:rsid w:val="006E0385"/>
    <w:rsid w:val="006E0386"/>
    <w:rsid w:val="006E16AB"/>
    <w:rsid w:val="006E1EBA"/>
    <w:rsid w:val="006E20BE"/>
    <w:rsid w:val="006E280E"/>
    <w:rsid w:val="006E3033"/>
    <w:rsid w:val="006E3F4A"/>
    <w:rsid w:val="006E4C96"/>
    <w:rsid w:val="006E56F2"/>
    <w:rsid w:val="006E5870"/>
    <w:rsid w:val="006E64D7"/>
    <w:rsid w:val="006E67EB"/>
    <w:rsid w:val="006E696A"/>
    <w:rsid w:val="006E6C53"/>
    <w:rsid w:val="006E768A"/>
    <w:rsid w:val="006E77B7"/>
    <w:rsid w:val="006E77B8"/>
    <w:rsid w:val="006E7814"/>
    <w:rsid w:val="006E7BDD"/>
    <w:rsid w:val="006E7E60"/>
    <w:rsid w:val="006F00A3"/>
    <w:rsid w:val="006F0415"/>
    <w:rsid w:val="006F112F"/>
    <w:rsid w:val="006F1360"/>
    <w:rsid w:val="006F15E5"/>
    <w:rsid w:val="006F2158"/>
    <w:rsid w:val="006F2D29"/>
    <w:rsid w:val="006F361B"/>
    <w:rsid w:val="006F4373"/>
    <w:rsid w:val="006F4E20"/>
    <w:rsid w:val="006F52F2"/>
    <w:rsid w:val="006F58D6"/>
    <w:rsid w:val="006F5E37"/>
    <w:rsid w:val="006F678A"/>
    <w:rsid w:val="006F6838"/>
    <w:rsid w:val="006F767F"/>
    <w:rsid w:val="007009F9"/>
    <w:rsid w:val="00700CA9"/>
    <w:rsid w:val="00701AFA"/>
    <w:rsid w:val="00701DDF"/>
    <w:rsid w:val="00701F8A"/>
    <w:rsid w:val="00702069"/>
    <w:rsid w:val="007023D6"/>
    <w:rsid w:val="007027B6"/>
    <w:rsid w:val="00702B7A"/>
    <w:rsid w:val="00702F84"/>
    <w:rsid w:val="00703B42"/>
    <w:rsid w:val="00703CC6"/>
    <w:rsid w:val="0070457A"/>
    <w:rsid w:val="00704810"/>
    <w:rsid w:val="007059A5"/>
    <w:rsid w:val="007061C1"/>
    <w:rsid w:val="00706CD6"/>
    <w:rsid w:val="00706D90"/>
    <w:rsid w:val="00706F1D"/>
    <w:rsid w:val="00707363"/>
    <w:rsid w:val="00710C3E"/>
    <w:rsid w:val="00710F2D"/>
    <w:rsid w:val="00712395"/>
    <w:rsid w:val="00712465"/>
    <w:rsid w:val="00712612"/>
    <w:rsid w:val="00712F5E"/>
    <w:rsid w:val="007138B0"/>
    <w:rsid w:val="00713989"/>
    <w:rsid w:val="00713CFE"/>
    <w:rsid w:val="007149DE"/>
    <w:rsid w:val="00714C78"/>
    <w:rsid w:val="00715A46"/>
    <w:rsid w:val="00715A75"/>
    <w:rsid w:val="00715D9D"/>
    <w:rsid w:val="00716708"/>
    <w:rsid w:val="007169AE"/>
    <w:rsid w:val="007170B7"/>
    <w:rsid w:val="007173A1"/>
    <w:rsid w:val="0071788A"/>
    <w:rsid w:val="00717ED3"/>
    <w:rsid w:val="007207CC"/>
    <w:rsid w:val="007209F9"/>
    <w:rsid w:val="007212D8"/>
    <w:rsid w:val="00721D3F"/>
    <w:rsid w:val="00721FD6"/>
    <w:rsid w:val="007229A8"/>
    <w:rsid w:val="00722BA9"/>
    <w:rsid w:val="00723387"/>
    <w:rsid w:val="00723989"/>
    <w:rsid w:val="007240E7"/>
    <w:rsid w:val="00724287"/>
    <w:rsid w:val="007248B9"/>
    <w:rsid w:val="0072587A"/>
    <w:rsid w:val="00726047"/>
    <w:rsid w:val="007261BA"/>
    <w:rsid w:val="0072664D"/>
    <w:rsid w:val="007267EC"/>
    <w:rsid w:val="00726ABB"/>
    <w:rsid w:val="00726D6E"/>
    <w:rsid w:val="0072731A"/>
    <w:rsid w:val="00727ABB"/>
    <w:rsid w:val="0073113D"/>
    <w:rsid w:val="00731D62"/>
    <w:rsid w:val="0073215D"/>
    <w:rsid w:val="00732454"/>
    <w:rsid w:val="007324E6"/>
    <w:rsid w:val="00732ED1"/>
    <w:rsid w:val="00733077"/>
    <w:rsid w:val="00733A23"/>
    <w:rsid w:val="007342FE"/>
    <w:rsid w:val="007349B2"/>
    <w:rsid w:val="0073711A"/>
    <w:rsid w:val="00740B98"/>
    <w:rsid w:val="00741269"/>
    <w:rsid w:val="0074173E"/>
    <w:rsid w:val="00741CC0"/>
    <w:rsid w:val="00741F1A"/>
    <w:rsid w:val="00742570"/>
    <w:rsid w:val="007426FB"/>
    <w:rsid w:val="00742A40"/>
    <w:rsid w:val="0074329D"/>
    <w:rsid w:val="00743631"/>
    <w:rsid w:val="00743E99"/>
    <w:rsid w:val="007445C4"/>
    <w:rsid w:val="00744E0C"/>
    <w:rsid w:val="0074507C"/>
    <w:rsid w:val="007450C0"/>
    <w:rsid w:val="007450ED"/>
    <w:rsid w:val="007455A8"/>
    <w:rsid w:val="00747CBE"/>
    <w:rsid w:val="0075344A"/>
    <w:rsid w:val="007534FC"/>
    <w:rsid w:val="00753CE6"/>
    <w:rsid w:val="00753F60"/>
    <w:rsid w:val="007540CC"/>
    <w:rsid w:val="00754272"/>
    <w:rsid w:val="00754A00"/>
    <w:rsid w:val="007557C1"/>
    <w:rsid w:val="00756907"/>
    <w:rsid w:val="00757655"/>
    <w:rsid w:val="0075769A"/>
    <w:rsid w:val="007601EB"/>
    <w:rsid w:val="00760993"/>
    <w:rsid w:val="00761234"/>
    <w:rsid w:val="0076233A"/>
    <w:rsid w:val="00762C3E"/>
    <w:rsid w:val="00763358"/>
    <w:rsid w:val="00763434"/>
    <w:rsid w:val="00763588"/>
    <w:rsid w:val="007635D6"/>
    <w:rsid w:val="007637B1"/>
    <w:rsid w:val="0076438F"/>
    <w:rsid w:val="00765536"/>
    <w:rsid w:val="00766748"/>
    <w:rsid w:val="00766ABB"/>
    <w:rsid w:val="007671CE"/>
    <w:rsid w:val="007673C0"/>
    <w:rsid w:val="00767858"/>
    <w:rsid w:val="00767879"/>
    <w:rsid w:val="00767CCE"/>
    <w:rsid w:val="00770723"/>
    <w:rsid w:val="00770A36"/>
    <w:rsid w:val="00770B16"/>
    <w:rsid w:val="00770DDE"/>
    <w:rsid w:val="007712D5"/>
    <w:rsid w:val="00771C0D"/>
    <w:rsid w:val="00772C0F"/>
    <w:rsid w:val="00773103"/>
    <w:rsid w:val="007731B9"/>
    <w:rsid w:val="0077347A"/>
    <w:rsid w:val="00774994"/>
    <w:rsid w:val="0077572A"/>
    <w:rsid w:val="0077646E"/>
    <w:rsid w:val="00776495"/>
    <w:rsid w:val="0077688D"/>
    <w:rsid w:val="0077722B"/>
    <w:rsid w:val="00777A18"/>
    <w:rsid w:val="00777F56"/>
    <w:rsid w:val="007804CE"/>
    <w:rsid w:val="0078084B"/>
    <w:rsid w:val="00780BC7"/>
    <w:rsid w:val="00780D3B"/>
    <w:rsid w:val="00780ED7"/>
    <w:rsid w:val="00781205"/>
    <w:rsid w:val="007816BC"/>
    <w:rsid w:val="00781794"/>
    <w:rsid w:val="00781CEB"/>
    <w:rsid w:val="007823CD"/>
    <w:rsid w:val="007829FC"/>
    <w:rsid w:val="0078369E"/>
    <w:rsid w:val="00783766"/>
    <w:rsid w:val="00783B1E"/>
    <w:rsid w:val="007840A5"/>
    <w:rsid w:val="00784B7C"/>
    <w:rsid w:val="0078502F"/>
    <w:rsid w:val="00785157"/>
    <w:rsid w:val="0078583F"/>
    <w:rsid w:val="0078612F"/>
    <w:rsid w:val="00786A71"/>
    <w:rsid w:val="00786E3D"/>
    <w:rsid w:val="007876E9"/>
    <w:rsid w:val="00790FAC"/>
    <w:rsid w:val="00791017"/>
    <w:rsid w:val="007914B5"/>
    <w:rsid w:val="007915A2"/>
    <w:rsid w:val="00791A65"/>
    <w:rsid w:val="0079240F"/>
    <w:rsid w:val="0079268F"/>
    <w:rsid w:val="00793028"/>
    <w:rsid w:val="00793A85"/>
    <w:rsid w:val="00793DA6"/>
    <w:rsid w:val="00793EDA"/>
    <w:rsid w:val="007942C5"/>
    <w:rsid w:val="0079451E"/>
    <w:rsid w:val="00795152"/>
    <w:rsid w:val="00795EF9"/>
    <w:rsid w:val="00796016"/>
    <w:rsid w:val="00796FCB"/>
    <w:rsid w:val="007A15AE"/>
    <w:rsid w:val="007A1674"/>
    <w:rsid w:val="007A2B23"/>
    <w:rsid w:val="007A2F21"/>
    <w:rsid w:val="007A359B"/>
    <w:rsid w:val="007A4252"/>
    <w:rsid w:val="007A43CD"/>
    <w:rsid w:val="007A4A0F"/>
    <w:rsid w:val="007A5C7F"/>
    <w:rsid w:val="007A6BE2"/>
    <w:rsid w:val="007A6EC3"/>
    <w:rsid w:val="007A745D"/>
    <w:rsid w:val="007A7986"/>
    <w:rsid w:val="007A7E18"/>
    <w:rsid w:val="007B0350"/>
    <w:rsid w:val="007B0AE9"/>
    <w:rsid w:val="007B22C5"/>
    <w:rsid w:val="007B22F8"/>
    <w:rsid w:val="007B25D8"/>
    <w:rsid w:val="007B27D3"/>
    <w:rsid w:val="007B2E88"/>
    <w:rsid w:val="007B316B"/>
    <w:rsid w:val="007B5358"/>
    <w:rsid w:val="007B55BA"/>
    <w:rsid w:val="007B5AC7"/>
    <w:rsid w:val="007B6E9B"/>
    <w:rsid w:val="007B745D"/>
    <w:rsid w:val="007B7930"/>
    <w:rsid w:val="007B79D3"/>
    <w:rsid w:val="007B7C58"/>
    <w:rsid w:val="007C1ECC"/>
    <w:rsid w:val="007C34EA"/>
    <w:rsid w:val="007C38C3"/>
    <w:rsid w:val="007C4259"/>
    <w:rsid w:val="007C42DA"/>
    <w:rsid w:val="007C4EDB"/>
    <w:rsid w:val="007C672B"/>
    <w:rsid w:val="007C6AB8"/>
    <w:rsid w:val="007C6E45"/>
    <w:rsid w:val="007C712D"/>
    <w:rsid w:val="007C7B3D"/>
    <w:rsid w:val="007D0A1E"/>
    <w:rsid w:val="007D1587"/>
    <w:rsid w:val="007D1915"/>
    <w:rsid w:val="007D1C73"/>
    <w:rsid w:val="007D1FA8"/>
    <w:rsid w:val="007D2667"/>
    <w:rsid w:val="007D3121"/>
    <w:rsid w:val="007D33F2"/>
    <w:rsid w:val="007D350F"/>
    <w:rsid w:val="007D3B94"/>
    <w:rsid w:val="007D4AD7"/>
    <w:rsid w:val="007D6F4B"/>
    <w:rsid w:val="007D6F4C"/>
    <w:rsid w:val="007D7531"/>
    <w:rsid w:val="007D78E5"/>
    <w:rsid w:val="007E0394"/>
    <w:rsid w:val="007E140C"/>
    <w:rsid w:val="007E1FA7"/>
    <w:rsid w:val="007E215C"/>
    <w:rsid w:val="007E226D"/>
    <w:rsid w:val="007E2B8D"/>
    <w:rsid w:val="007E2C29"/>
    <w:rsid w:val="007E2F5A"/>
    <w:rsid w:val="007E331B"/>
    <w:rsid w:val="007E3497"/>
    <w:rsid w:val="007E423F"/>
    <w:rsid w:val="007E48F0"/>
    <w:rsid w:val="007E5811"/>
    <w:rsid w:val="007E5AE9"/>
    <w:rsid w:val="007E63E9"/>
    <w:rsid w:val="007E6428"/>
    <w:rsid w:val="007E6C86"/>
    <w:rsid w:val="007E7F5E"/>
    <w:rsid w:val="007F0FD5"/>
    <w:rsid w:val="007F14B6"/>
    <w:rsid w:val="007F2875"/>
    <w:rsid w:val="007F3510"/>
    <w:rsid w:val="007F4179"/>
    <w:rsid w:val="007F4B82"/>
    <w:rsid w:val="007F4E40"/>
    <w:rsid w:val="007F4F98"/>
    <w:rsid w:val="007F5670"/>
    <w:rsid w:val="007F5C43"/>
    <w:rsid w:val="007F5D01"/>
    <w:rsid w:val="007F5F9B"/>
    <w:rsid w:val="007F7A59"/>
    <w:rsid w:val="008008FD"/>
    <w:rsid w:val="00800B5C"/>
    <w:rsid w:val="00801000"/>
    <w:rsid w:val="0080125D"/>
    <w:rsid w:val="00802945"/>
    <w:rsid w:val="008030B7"/>
    <w:rsid w:val="0080313A"/>
    <w:rsid w:val="00803903"/>
    <w:rsid w:val="00803CC6"/>
    <w:rsid w:val="008042A6"/>
    <w:rsid w:val="0080485A"/>
    <w:rsid w:val="00804EFE"/>
    <w:rsid w:val="00805CAA"/>
    <w:rsid w:val="00806502"/>
    <w:rsid w:val="00807095"/>
    <w:rsid w:val="00807855"/>
    <w:rsid w:val="00811611"/>
    <w:rsid w:val="00811FA1"/>
    <w:rsid w:val="0081210A"/>
    <w:rsid w:val="008121DD"/>
    <w:rsid w:val="008127C3"/>
    <w:rsid w:val="00812F23"/>
    <w:rsid w:val="00814A81"/>
    <w:rsid w:val="00815629"/>
    <w:rsid w:val="00816C34"/>
    <w:rsid w:val="00816D66"/>
    <w:rsid w:val="00816D91"/>
    <w:rsid w:val="00816FC2"/>
    <w:rsid w:val="00817382"/>
    <w:rsid w:val="008211AF"/>
    <w:rsid w:val="008215C7"/>
    <w:rsid w:val="00821613"/>
    <w:rsid w:val="00822CAE"/>
    <w:rsid w:val="00824F7A"/>
    <w:rsid w:val="00826504"/>
    <w:rsid w:val="00826FB8"/>
    <w:rsid w:val="00827CE7"/>
    <w:rsid w:val="00827DBD"/>
    <w:rsid w:val="00830548"/>
    <w:rsid w:val="0083084F"/>
    <w:rsid w:val="0083092E"/>
    <w:rsid w:val="00832053"/>
    <w:rsid w:val="0083247A"/>
    <w:rsid w:val="00832A5E"/>
    <w:rsid w:val="0083397E"/>
    <w:rsid w:val="00833B81"/>
    <w:rsid w:val="0083457C"/>
    <w:rsid w:val="0083461A"/>
    <w:rsid w:val="008348C7"/>
    <w:rsid w:val="008351A7"/>
    <w:rsid w:val="00835442"/>
    <w:rsid w:val="0083569C"/>
    <w:rsid w:val="008356E5"/>
    <w:rsid w:val="00835F0B"/>
    <w:rsid w:val="00836343"/>
    <w:rsid w:val="00836781"/>
    <w:rsid w:val="0083730E"/>
    <w:rsid w:val="00837F2D"/>
    <w:rsid w:val="00840076"/>
    <w:rsid w:val="00840BCE"/>
    <w:rsid w:val="00841249"/>
    <w:rsid w:val="00841312"/>
    <w:rsid w:val="008415A6"/>
    <w:rsid w:val="0084169E"/>
    <w:rsid w:val="00841A63"/>
    <w:rsid w:val="00843448"/>
    <w:rsid w:val="00843776"/>
    <w:rsid w:val="008437C1"/>
    <w:rsid w:val="008437C5"/>
    <w:rsid w:val="008442F6"/>
    <w:rsid w:val="0084647A"/>
    <w:rsid w:val="008477F4"/>
    <w:rsid w:val="00847B6C"/>
    <w:rsid w:val="00847EC7"/>
    <w:rsid w:val="008502CD"/>
    <w:rsid w:val="00850D6A"/>
    <w:rsid w:val="0085155F"/>
    <w:rsid w:val="0085164F"/>
    <w:rsid w:val="008523FA"/>
    <w:rsid w:val="0085248D"/>
    <w:rsid w:val="00852550"/>
    <w:rsid w:val="0085268D"/>
    <w:rsid w:val="00853DA9"/>
    <w:rsid w:val="00854117"/>
    <w:rsid w:val="00854178"/>
    <w:rsid w:val="00854201"/>
    <w:rsid w:val="008542C4"/>
    <w:rsid w:val="00855353"/>
    <w:rsid w:val="0085568D"/>
    <w:rsid w:val="008576DE"/>
    <w:rsid w:val="00857AB0"/>
    <w:rsid w:val="00860057"/>
    <w:rsid w:val="008600BE"/>
    <w:rsid w:val="0086133A"/>
    <w:rsid w:val="008616C4"/>
    <w:rsid w:val="008618B5"/>
    <w:rsid w:val="00861F87"/>
    <w:rsid w:val="00861FF2"/>
    <w:rsid w:val="00864495"/>
    <w:rsid w:val="00864C5D"/>
    <w:rsid w:val="00865CDB"/>
    <w:rsid w:val="0087078A"/>
    <w:rsid w:val="008712F6"/>
    <w:rsid w:val="00871A55"/>
    <w:rsid w:val="008720B1"/>
    <w:rsid w:val="0087232B"/>
    <w:rsid w:val="00872D43"/>
    <w:rsid w:val="00874298"/>
    <w:rsid w:val="00875585"/>
    <w:rsid w:val="008761ED"/>
    <w:rsid w:val="00876233"/>
    <w:rsid w:val="00876FDB"/>
    <w:rsid w:val="00877D0B"/>
    <w:rsid w:val="00877FF5"/>
    <w:rsid w:val="008815EF"/>
    <w:rsid w:val="00881CEE"/>
    <w:rsid w:val="00881E0D"/>
    <w:rsid w:val="00881EF7"/>
    <w:rsid w:val="00882067"/>
    <w:rsid w:val="00882353"/>
    <w:rsid w:val="00882A42"/>
    <w:rsid w:val="008836F4"/>
    <w:rsid w:val="00883E24"/>
    <w:rsid w:val="00884050"/>
    <w:rsid w:val="0088408E"/>
    <w:rsid w:val="008847A6"/>
    <w:rsid w:val="00884B81"/>
    <w:rsid w:val="00885926"/>
    <w:rsid w:val="00885C5E"/>
    <w:rsid w:val="00885CA7"/>
    <w:rsid w:val="00886187"/>
    <w:rsid w:val="00886FE1"/>
    <w:rsid w:val="008878DE"/>
    <w:rsid w:val="00891088"/>
    <w:rsid w:val="008921B8"/>
    <w:rsid w:val="00893181"/>
    <w:rsid w:val="008937E6"/>
    <w:rsid w:val="00894079"/>
    <w:rsid w:val="00894247"/>
    <w:rsid w:val="008951DE"/>
    <w:rsid w:val="00896283"/>
    <w:rsid w:val="00896C89"/>
    <w:rsid w:val="00897EA8"/>
    <w:rsid w:val="008A09FC"/>
    <w:rsid w:val="008A136C"/>
    <w:rsid w:val="008A1995"/>
    <w:rsid w:val="008A2151"/>
    <w:rsid w:val="008A26CC"/>
    <w:rsid w:val="008A2859"/>
    <w:rsid w:val="008A33CF"/>
    <w:rsid w:val="008A3866"/>
    <w:rsid w:val="008A41EC"/>
    <w:rsid w:val="008A4AFB"/>
    <w:rsid w:val="008A4B80"/>
    <w:rsid w:val="008A52AE"/>
    <w:rsid w:val="008A538E"/>
    <w:rsid w:val="008A6893"/>
    <w:rsid w:val="008A74B9"/>
    <w:rsid w:val="008A79CD"/>
    <w:rsid w:val="008A7D35"/>
    <w:rsid w:val="008B00DB"/>
    <w:rsid w:val="008B141A"/>
    <w:rsid w:val="008B38A7"/>
    <w:rsid w:val="008B3C45"/>
    <w:rsid w:val="008B4385"/>
    <w:rsid w:val="008B44DD"/>
    <w:rsid w:val="008B53F6"/>
    <w:rsid w:val="008B5510"/>
    <w:rsid w:val="008B6A0F"/>
    <w:rsid w:val="008B7377"/>
    <w:rsid w:val="008B7ACE"/>
    <w:rsid w:val="008B7C45"/>
    <w:rsid w:val="008C0B6D"/>
    <w:rsid w:val="008C17E1"/>
    <w:rsid w:val="008C19DE"/>
    <w:rsid w:val="008C1E0A"/>
    <w:rsid w:val="008C1EE6"/>
    <w:rsid w:val="008C206E"/>
    <w:rsid w:val="008C20DE"/>
    <w:rsid w:val="008C2CFE"/>
    <w:rsid w:val="008C5249"/>
    <w:rsid w:val="008C5832"/>
    <w:rsid w:val="008C5B60"/>
    <w:rsid w:val="008C5BB8"/>
    <w:rsid w:val="008C64CC"/>
    <w:rsid w:val="008C6DFD"/>
    <w:rsid w:val="008C7731"/>
    <w:rsid w:val="008C77F4"/>
    <w:rsid w:val="008D045C"/>
    <w:rsid w:val="008D1D79"/>
    <w:rsid w:val="008D30B2"/>
    <w:rsid w:val="008D3DF0"/>
    <w:rsid w:val="008D47C4"/>
    <w:rsid w:val="008D4A71"/>
    <w:rsid w:val="008D4BDF"/>
    <w:rsid w:val="008D4C99"/>
    <w:rsid w:val="008D5689"/>
    <w:rsid w:val="008D582C"/>
    <w:rsid w:val="008D5B6D"/>
    <w:rsid w:val="008D70AB"/>
    <w:rsid w:val="008D7913"/>
    <w:rsid w:val="008E01A9"/>
    <w:rsid w:val="008E05C2"/>
    <w:rsid w:val="008E085F"/>
    <w:rsid w:val="008E0A63"/>
    <w:rsid w:val="008E0F43"/>
    <w:rsid w:val="008E172C"/>
    <w:rsid w:val="008E19B5"/>
    <w:rsid w:val="008E2280"/>
    <w:rsid w:val="008E489D"/>
    <w:rsid w:val="008E54CD"/>
    <w:rsid w:val="008E6720"/>
    <w:rsid w:val="008E7155"/>
    <w:rsid w:val="008E75AA"/>
    <w:rsid w:val="008E77D8"/>
    <w:rsid w:val="008E7E22"/>
    <w:rsid w:val="008F1D56"/>
    <w:rsid w:val="008F1F65"/>
    <w:rsid w:val="008F24BA"/>
    <w:rsid w:val="008F2958"/>
    <w:rsid w:val="008F36A6"/>
    <w:rsid w:val="008F3E77"/>
    <w:rsid w:val="008F4E9C"/>
    <w:rsid w:val="008F52B9"/>
    <w:rsid w:val="008F5F77"/>
    <w:rsid w:val="008F5FE7"/>
    <w:rsid w:val="008F600E"/>
    <w:rsid w:val="008F60AB"/>
    <w:rsid w:val="008F7255"/>
    <w:rsid w:val="008F7680"/>
    <w:rsid w:val="00901C37"/>
    <w:rsid w:val="0090217A"/>
    <w:rsid w:val="00902E50"/>
    <w:rsid w:val="00903171"/>
    <w:rsid w:val="009031AD"/>
    <w:rsid w:val="00903ECF"/>
    <w:rsid w:val="00904741"/>
    <w:rsid w:val="00904935"/>
    <w:rsid w:val="00905537"/>
    <w:rsid w:val="00905BAF"/>
    <w:rsid w:val="00906A73"/>
    <w:rsid w:val="0090778D"/>
    <w:rsid w:val="009078F1"/>
    <w:rsid w:val="009129DE"/>
    <w:rsid w:val="00912D4C"/>
    <w:rsid w:val="009131F9"/>
    <w:rsid w:val="0091421A"/>
    <w:rsid w:val="00914295"/>
    <w:rsid w:val="00914774"/>
    <w:rsid w:val="009147E5"/>
    <w:rsid w:val="009148CB"/>
    <w:rsid w:val="00914A24"/>
    <w:rsid w:val="009160FF"/>
    <w:rsid w:val="009168E9"/>
    <w:rsid w:val="009173D6"/>
    <w:rsid w:val="00920621"/>
    <w:rsid w:val="00920F97"/>
    <w:rsid w:val="0092100C"/>
    <w:rsid w:val="009210C5"/>
    <w:rsid w:val="009230B6"/>
    <w:rsid w:val="00923155"/>
    <w:rsid w:val="00923AB8"/>
    <w:rsid w:val="00925612"/>
    <w:rsid w:val="00925893"/>
    <w:rsid w:val="009265A4"/>
    <w:rsid w:val="00926C5F"/>
    <w:rsid w:val="00926E87"/>
    <w:rsid w:val="009270DC"/>
    <w:rsid w:val="00927840"/>
    <w:rsid w:val="009278DC"/>
    <w:rsid w:val="00927C4E"/>
    <w:rsid w:val="00927D9C"/>
    <w:rsid w:val="00930D47"/>
    <w:rsid w:val="00930E6E"/>
    <w:rsid w:val="00931689"/>
    <w:rsid w:val="009317A1"/>
    <w:rsid w:val="00932EA1"/>
    <w:rsid w:val="00932F3C"/>
    <w:rsid w:val="009330AF"/>
    <w:rsid w:val="00933317"/>
    <w:rsid w:val="009342AC"/>
    <w:rsid w:val="009348AD"/>
    <w:rsid w:val="00935003"/>
    <w:rsid w:val="00935C24"/>
    <w:rsid w:val="00936A52"/>
    <w:rsid w:val="0094092D"/>
    <w:rsid w:val="0094120E"/>
    <w:rsid w:val="00942450"/>
    <w:rsid w:val="00943198"/>
    <w:rsid w:val="00943764"/>
    <w:rsid w:val="00943B76"/>
    <w:rsid w:val="00943B82"/>
    <w:rsid w:val="00943E99"/>
    <w:rsid w:val="00944FED"/>
    <w:rsid w:val="00945AEA"/>
    <w:rsid w:val="009465FF"/>
    <w:rsid w:val="0094791F"/>
    <w:rsid w:val="00947980"/>
    <w:rsid w:val="00947C1C"/>
    <w:rsid w:val="00950153"/>
    <w:rsid w:val="009513ED"/>
    <w:rsid w:val="00951D4B"/>
    <w:rsid w:val="00952957"/>
    <w:rsid w:val="00952A92"/>
    <w:rsid w:val="00952F21"/>
    <w:rsid w:val="00953E0C"/>
    <w:rsid w:val="00953F21"/>
    <w:rsid w:val="009548A0"/>
    <w:rsid w:val="00954E7D"/>
    <w:rsid w:val="00955D31"/>
    <w:rsid w:val="00955F95"/>
    <w:rsid w:val="00956143"/>
    <w:rsid w:val="00957102"/>
    <w:rsid w:val="00957827"/>
    <w:rsid w:val="009578F3"/>
    <w:rsid w:val="00957D79"/>
    <w:rsid w:val="00960220"/>
    <w:rsid w:val="009604CB"/>
    <w:rsid w:val="00960628"/>
    <w:rsid w:val="0096102D"/>
    <w:rsid w:val="00962027"/>
    <w:rsid w:val="00963417"/>
    <w:rsid w:val="0096491C"/>
    <w:rsid w:val="00965ADA"/>
    <w:rsid w:val="009660D3"/>
    <w:rsid w:val="009664B3"/>
    <w:rsid w:val="00966D30"/>
    <w:rsid w:val="009674CF"/>
    <w:rsid w:val="00967703"/>
    <w:rsid w:val="00967769"/>
    <w:rsid w:val="00967EE4"/>
    <w:rsid w:val="00967F03"/>
    <w:rsid w:val="009720B7"/>
    <w:rsid w:val="00972939"/>
    <w:rsid w:val="00972D2C"/>
    <w:rsid w:val="009732EF"/>
    <w:rsid w:val="0097344A"/>
    <w:rsid w:val="00973CE7"/>
    <w:rsid w:val="009745B0"/>
    <w:rsid w:val="00975483"/>
    <w:rsid w:val="00976971"/>
    <w:rsid w:val="00976CAC"/>
    <w:rsid w:val="00977B71"/>
    <w:rsid w:val="00977E1A"/>
    <w:rsid w:val="009828AA"/>
    <w:rsid w:val="00983A42"/>
    <w:rsid w:val="00984D5A"/>
    <w:rsid w:val="00984E37"/>
    <w:rsid w:val="0098583E"/>
    <w:rsid w:val="00985AA4"/>
    <w:rsid w:val="0098642C"/>
    <w:rsid w:val="0098672A"/>
    <w:rsid w:val="0098687C"/>
    <w:rsid w:val="00986A0E"/>
    <w:rsid w:val="009879C0"/>
    <w:rsid w:val="00990630"/>
    <w:rsid w:val="00990D82"/>
    <w:rsid w:val="00991251"/>
    <w:rsid w:val="00991631"/>
    <w:rsid w:val="009920F3"/>
    <w:rsid w:val="00992A64"/>
    <w:rsid w:val="00994C0D"/>
    <w:rsid w:val="00995CC9"/>
    <w:rsid w:val="0099788D"/>
    <w:rsid w:val="009A00F2"/>
    <w:rsid w:val="009A0311"/>
    <w:rsid w:val="009A03DA"/>
    <w:rsid w:val="009A07E2"/>
    <w:rsid w:val="009A0B30"/>
    <w:rsid w:val="009A1F4D"/>
    <w:rsid w:val="009A26DF"/>
    <w:rsid w:val="009A308C"/>
    <w:rsid w:val="009A37DD"/>
    <w:rsid w:val="009A3D58"/>
    <w:rsid w:val="009A3DB1"/>
    <w:rsid w:val="009A5648"/>
    <w:rsid w:val="009A58A3"/>
    <w:rsid w:val="009A5FAE"/>
    <w:rsid w:val="009A6425"/>
    <w:rsid w:val="009A6C31"/>
    <w:rsid w:val="009A6D4F"/>
    <w:rsid w:val="009A77E7"/>
    <w:rsid w:val="009B1197"/>
    <w:rsid w:val="009B122A"/>
    <w:rsid w:val="009B18C8"/>
    <w:rsid w:val="009B1A42"/>
    <w:rsid w:val="009B3171"/>
    <w:rsid w:val="009B336C"/>
    <w:rsid w:val="009B5295"/>
    <w:rsid w:val="009B62AA"/>
    <w:rsid w:val="009C083E"/>
    <w:rsid w:val="009C0960"/>
    <w:rsid w:val="009C1145"/>
    <w:rsid w:val="009C2088"/>
    <w:rsid w:val="009C2188"/>
    <w:rsid w:val="009C224D"/>
    <w:rsid w:val="009C2331"/>
    <w:rsid w:val="009C254C"/>
    <w:rsid w:val="009C2CEA"/>
    <w:rsid w:val="009C534F"/>
    <w:rsid w:val="009C6981"/>
    <w:rsid w:val="009D0020"/>
    <w:rsid w:val="009D0104"/>
    <w:rsid w:val="009D052A"/>
    <w:rsid w:val="009D0646"/>
    <w:rsid w:val="009D0AF9"/>
    <w:rsid w:val="009D0F48"/>
    <w:rsid w:val="009D1B50"/>
    <w:rsid w:val="009D23CC"/>
    <w:rsid w:val="009D243E"/>
    <w:rsid w:val="009D285F"/>
    <w:rsid w:val="009D33D3"/>
    <w:rsid w:val="009D37B3"/>
    <w:rsid w:val="009D3AE6"/>
    <w:rsid w:val="009D4868"/>
    <w:rsid w:val="009D5F02"/>
    <w:rsid w:val="009D646A"/>
    <w:rsid w:val="009D7F2C"/>
    <w:rsid w:val="009E03D3"/>
    <w:rsid w:val="009E0527"/>
    <w:rsid w:val="009E0789"/>
    <w:rsid w:val="009E082E"/>
    <w:rsid w:val="009E18A9"/>
    <w:rsid w:val="009E1D18"/>
    <w:rsid w:val="009E1DD7"/>
    <w:rsid w:val="009E28B3"/>
    <w:rsid w:val="009E3000"/>
    <w:rsid w:val="009E314B"/>
    <w:rsid w:val="009E38C0"/>
    <w:rsid w:val="009E3CE9"/>
    <w:rsid w:val="009E45A0"/>
    <w:rsid w:val="009E4799"/>
    <w:rsid w:val="009E4FF3"/>
    <w:rsid w:val="009E512D"/>
    <w:rsid w:val="009E5341"/>
    <w:rsid w:val="009E67EF"/>
    <w:rsid w:val="009E684D"/>
    <w:rsid w:val="009E73FC"/>
    <w:rsid w:val="009E7CAE"/>
    <w:rsid w:val="009F0CD4"/>
    <w:rsid w:val="009F136C"/>
    <w:rsid w:val="009F1378"/>
    <w:rsid w:val="009F19C5"/>
    <w:rsid w:val="009F2230"/>
    <w:rsid w:val="009F262B"/>
    <w:rsid w:val="009F36C4"/>
    <w:rsid w:val="009F3EFA"/>
    <w:rsid w:val="009F4D09"/>
    <w:rsid w:val="009F50EB"/>
    <w:rsid w:val="009F543B"/>
    <w:rsid w:val="009F5EEE"/>
    <w:rsid w:val="009F6DD5"/>
    <w:rsid w:val="009F7454"/>
    <w:rsid w:val="009F7895"/>
    <w:rsid w:val="009F7C9B"/>
    <w:rsid w:val="009F7DBB"/>
    <w:rsid w:val="009F7F21"/>
    <w:rsid w:val="00A01456"/>
    <w:rsid w:val="00A01566"/>
    <w:rsid w:val="00A02EAC"/>
    <w:rsid w:val="00A02F34"/>
    <w:rsid w:val="00A03873"/>
    <w:rsid w:val="00A03A17"/>
    <w:rsid w:val="00A03F7B"/>
    <w:rsid w:val="00A046EE"/>
    <w:rsid w:val="00A0493F"/>
    <w:rsid w:val="00A054BB"/>
    <w:rsid w:val="00A058FD"/>
    <w:rsid w:val="00A05C22"/>
    <w:rsid w:val="00A05E65"/>
    <w:rsid w:val="00A067B1"/>
    <w:rsid w:val="00A06CCC"/>
    <w:rsid w:val="00A06CF4"/>
    <w:rsid w:val="00A072E6"/>
    <w:rsid w:val="00A07D3A"/>
    <w:rsid w:val="00A106D5"/>
    <w:rsid w:val="00A12876"/>
    <w:rsid w:val="00A133F0"/>
    <w:rsid w:val="00A145BB"/>
    <w:rsid w:val="00A150D3"/>
    <w:rsid w:val="00A157B3"/>
    <w:rsid w:val="00A161FD"/>
    <w:rsid w:val="00A16692"/>
    <w:rsid w:val="00A179E5"/>
    <w:rsid w:val="00A20A14"/>
    <w:rsid w:val="00A20F08"/>
    <w:rsid w:val="00A21A0C"/>
    <w:rsid w:val="00A21E9B"/>
    <w:rsid w:val="00A2200E"/>
    <w:rsid w:val="00A22ADC"/>
    <w:rsid w:val="00A22F38"/>
    <w:rsid w:val="00A23FBE"/>
    <w:rsid w:val="00A260EC"/>
    <w:rsid w:val="00A267FD"/>
    <w:rsid w:val="00A276C6"/>
    <w:rsid w:val="00A279CD"/>
    <w:rsid w:val="00A27B86"/>
    <w:rsid w:val="00A27D67"/>
    <w:rsid w:val="00A3009D"/>
    <w:rsid w:val="00A31935"/>
    <w:rsid w:val="00A32949"/>
    <w:rsid w:val="00A32A34"/>
    <w:rsid w:val="00A32BC6"/>
    <w:rsid w:val="00A32C89"/>
    <w:rsid w:val="00A3302B"/>
    <w:rsid w:val="00A33B32"/>
    <w:rsid w:val="00A343DF"/>
    <w:rsid w:val="00A345F9"/>
    <w:rsid w:val="00A34652"/>
    <w:rsid w:val="00A34B80"/>
    <w:rsid w:val="00A34D52"/>
    <w:rsid w:val="00A35479"/>
    <w:rsid w:val="00A35F54"/>
    <w:rsid w:val="00A36889"/>
    <w:rsid w:val="00A36CCD"/>
    <w:rsid w:val="00A36E0A"/>
    <w:rsid w:val="00A36EE1"/>
    <w:rsid w:val="00A37232"/>
    <w:rsid w:val="00A409F8"/>
    <w:rsid w:val="00A40BB6"/>
    <w:rsid w:val="00A4111C"/>
    <w:rsid w:val="00A41211"/>
    <w:rsid w:val="00A41B1C"/>
    <w:rsid w:val="00A41F11"/>
    <w:rsid w:val="00A43467"/>
    <w:rsid w:val="00A44683"/>
    <w:rsid w:val="00A44783"/>
    <w:rsid w:val="00A447BE"/>
    <w:rsid w:val="00A45E29"/>
    <w:rsid w:val="00A460C5"/>
    <w:rsid w:val="00A468E7"/>
    <w:rsid w:val="00A46E1B"/>
    <w:rsid w:val="00A46F1B"/>
    <w:rsid w:val="00A47240"/>
    <w:rsid w:val="00A47380"/>
    <w:rsid w:val="00A50294"/>
    <w:rsid w:val="00A5222F"/>
    <w:rsid w:val="00A52360"/>
    <w:rsid w:val="00A52774"/>
    <w:rsid w:val="00A52BDE"/>
    <w:rsid w:val="00A52EF3"/>
    <w:rsid w:val="00A5552C"/>
    <w:rsid w:val="00A55554"/>
    <w:rsid w:val="00A558C9"/>
    <w:rsid w:val="00A568A3"/>
    <w:rsid w:val="00A570B8"/>
    <w:rsid w:val="00A57297"/>
    <w:rsid w:val="00A57ACF"/>
    <w:rsid w:val="00A57EA0"/>
    <w:rsid w:val="00A6061B"/>
    <w:rsid w:val="00A6086B"/>
    <w:rsid w:val="00A60C5C"/>
    <w:rsid w:val="00A6138E"/>
    <w:rsid w:val="00A6142E"/>
    <w:rsid w:val="00A61790"/>
    <w:rsid w:val="00A61A68"/>
    <w:rsid w:val="00A63923"/>
    <w:rsid w:val="00A63DAF"/>
    <w:rsid w:val="00A65823"/>
    <w:rsid w:val="00A66979"/>
    <w:rsid w:val="00A671C1"/>
    <w:rsid w:val="00A679C3"/>
    <w:rsid w:val="00A700DC"/>
    <w:rsid w:val="00A70757"/>
    <w:rsid w:val="00A721E7"/>
    <w:rsid w:val="00A724D7"/>
    <w:rsid w:val="00A72536"/>
    <w:rsid w:val="00A72D2E"/>
    <w:rsid w:val="00A72F9A"/>
    <w:rsid w:val="00A733CC"/>
    <w:rsid w:val="00A7391C"/>
    <w:rsid w:val="00A73BD9"/>
    <w:rsid w:val="00A7473D"/>
    <w:rsid w:val="00A74ADA"/>
    <w:rsid w:val="00A752FA"/>
    <w:rsid w:val="00A75555"/>
    <w:rsid w:val="00A7567C"/>
    <w:rsid w:val="00A76013"/>
    <w:rsid w:val="00A7723D"/>
    <w:rsid w:val="00A77593"/>
    <w:rsid w:val="00A77965"/>
    <w:rsid w:val="00A77DEC"/>
    <w:rsid w:val="00A77E1B"/>
    <w:rsid w:val="00A802F5"/>
    <w:rsid w:val="00A80473"/>
    <w:rsid w:val="00A807A1"/>
    <w:rsid w:val="00A810AE"/>
    <w:rsid w:val="00A812D1"/>
    <w:rsid w:val="00A81872"/>
    <w:rsid w:val="00A81B55"/>
    <w:rsid w:val="00A827B3"/>
    <w:rsid w:val="00A82EAF"/>
    <w:rsid w:val="00A83248"/>
    <w:rsid w:val="00A8369B"/>
    <w:rsid w:val="00A83A1D"/>
    <w:rsid w:val="00A83B2C"/>
    <w:rsid w:val="00A84574"/>
    <w:rsid w:val="00A847B3"/>
    <w:rsid w:val="00A84A4C"/>
    <w:rsid w:val="00A85408"/>
    <w:rsid w:val="00A85F93"/>
    <w:rsid w:val="00A863A7"/>
    <w:rsid w:val="00A8704B"/>
    <w:rsid w:val="00A87507"/>
    <w:rsid w:val="00A90965"/>
    <w:rsid w:val="00A90DE5"/>
    <w:rsid w:val="00A93785"/>
    <w:rsid w:val="00A93ACB"/>
    <w:rsid w:val="00A93C3A"/>
    <w:rsid w:val="00A95528"/>
    <w:rsid w:val="00A95808"/>
    <w:rsid w:val="00A95EA0"/>
    <w:rsid w:val="00AA05FF"/>
    <w:rsid w:val="00AA0F20"/>
    <w:rsid w:val="00AA1639"/>
    <w:rsid w:val="00AA1D79"/>
    <w:rsid w:val="00AA2E64"/>
    <w:rsid w:val="00AA3BB4"/>
    <w:rsid w:val="00AA3DE2"/>
    <w:rsid w:val="00AA5C3D"/>
    <w:rsid w:val="00AA5FC5"/>
    <w:rsid w:val="00AA7A24"/>
    <w:rsid w:val="00AB0F09"/>
    <w:rsid w:val="00AB0FC2"/>
    <w:rsid w:val="00AB1958"/>
    <w:rsid w:val="00AB1BAC"/>
    <w:rsid w:val="00AB2375"/>
    <w:rsid w:val="00AB252A"/>
    <w:rsid w:val="00AB272D"/>
    <w:rsid w:val="00AB29F1"/>
    <w:rsid w:val="00AB36CD"/>
    <w:rsid w:val="00AB4E39"/>
    <w:rsid w:val="00AB5460"/>
    <w:rsid w:val="00AB60B4"/>
    <w:rsid w:val="00AB68CE"/>
    <w:rsid w:val="00AB6F9E"/>
    <w:rsid w:val="00AB7D43"/>
    <w:rsid w:val="00AB7DC1"/>
    <w:rsid w:val="00AC12C9"/>
    <w:rsid w:val="00AC1340"/>
    <w:rsid w:val="00AC1EB2"/>
    <w:rsid w:val="00AC252A"/>
    <w:rsid w:val="00AC2ABE"/>
    <w:rsid w:val="00AC3ACA"/>
    <w:rsid w:val="00AC4AE3"/>
    <w:rsid w:val="00AC4FCC"/>
    <w:rsid w:val="00AC5422"/>
    <w:rsid w:val="00AC5EDF"/>
    <w:rsid w:val="00AC6283"/>
    <w:rsid w:val="00AC6574"/>
    <w:rsid w:val="00AD12A3"/>
    <w:rsid w:val="00AD2601"/>
    <w:rsid w:val="00AD2D7D"/>
    <w:rsid w:val="00AD3415"/>
    <w:rsid w:val="00AD461F"/>
    <w:rsid w:val="00AD4C72"/>
    <w:rsid w:val="00AD575E"/>
    <w:rsid w:val="00AD5E2A"/>
    <w:rsid w:val="00AD5FE3"/>
    <w:rsid w:val="00AD6083"/>
    <w:rsid w:val="00AD60BB"/>
    <w:rsid w:val="00AD6DA3"/>
    <w:rsid w:val="00AD6FA9"/>
    <w:rsid w:val="00AD7153"/>
    <w:rsid w:val="00AE01BC"/>
    <w:rsid w:val="00AE03D7"/>
    <w:rsid w:val="00AE0456"/>
    <w:rsid w:val="00AE08E6"/>
    <w:rsid w:val="00AE10A9"/>
    <w:rsid w:val="00AE136A"/>
    <w:rsid w:val="00AE1995"/>
    <w:rsid w:val="00AE1B69"/>
    <w:rsid w:val="00AE1C3F"/>
    <w:rsid w:val="00AE2729"/>
    <w:rsid w:val="00AE27B2"/>
    <w:rsid w:val="00AE30DE"/>
    <w:rsid w:val="00AE30FB"/>
    <w:rsid w:val="00AE5A5B"/>
    <w:rsid w:val="00AE6428"/>
    <w:rsid w:val="00AE6E67"/>
    <w:rsid w:val="00AE7337"/>
    <w:rsid w:val="00AF1C81"/>
    <w:rsid w:val="00AF2647"/>
    <w:rsid w:val="00AF29EA"/>
    <w:rsid w:val="00AF3731"/>
    <w:rsid w:val="00AF40DA"/>
    <w:rsid w:val="00AF4174"/>
    <w:rsid w:val="00AF4E93"/>
    <w:rsid w:val="00AF4F57"/>
    <w:rsid w:val="00AF4FE6"/>
    <w:rsid w:val="00AF522A"/>
    <w:rsid w:val="00AF5701"/>
    <w:rsid w:val="00AF58AB"/>
    <w:rsid w:val="00AF63AA"/>
    <w:rsid w:val="00AF6E44"/>
    <w:rsid w:val="00AF750D"/>
    <w:rsid w:val="00AF79DF"/>
    <w:rsid w:val="00AF7DF1"/>
    <w:rsid w:val="00B008E5"/>
    <w:rsid w:val="00B00B07"/>
    <w:rsid w:val="00B00C86"/>
    <w:rsid w:val="00B0166D"/>
    <w:rsid w:val="00B025EE"/>
    <w:rsid w:val="00B03C8E"/>
    <w:rsid w:val="00B03CDE"/>
    <w:rsid w:val="00B052C2"/>
    <w:rsid w:val="00B05B50"/>
    <w:rsid w:val="00B05D17"/>
    <w:rsid w:val="00B0704A"/>
    <w:rsid w:val="00B0763A"/>
    <w:rsid w:val="00B1047A"/>
    <w:rsid w:val="00B11051"/>
    <w:rsid w:val="00B11DF0"/>
    <w:rsid w:val="00B1251A"/>
    <w:rsid w:val="00B1268D"/>
    <w:rsid w:val="00B12D29"/>
    <w:rsid w:val="00B144CA"/>
    <w:rsid w:val="00B15A52"/>
    <w:rsid w:val="00B162AB"/>
    <w:rsid w:val="00B1653C"/>
    <w:rsid w:val="00B17A40"/>
    <w:rsid w:val="00B23AD4"/>
    <w:rsid w:val="00B2406D"/>
    <w:rsid w:val="00B25C7A"/>
    <w:rsid w:val="00B261CD"/>
    <w:rsid w:val="00B26CFC"/>
    <w:rsid w:val="00B27537"/>
    <w:rsid w:val="00B277CE"/>
    <w:rsid w:val="00B27BBA"/>
    <w:rsid w:val="00B308A8"/>
    <w:rsid w:val="00B30BB1"/>
    <w:rsid w:val="00B3191D"/>
    <w:rsid w:val="00B324B1"/>
    <w:rsid w:val="00B325E4"/>
    <w:rsid w:val="00B336E7"/>
    <w:rsid w:val="00B340D7"/>
    <w:rsid w:val="00B3416C"/>
    <w:rsid w:val="00B351F1"/>
    <w:rsid w:val="00B35477"/>
    <w:rsid w:val="00B36595"/>
    <w:rsid w:val="00B3742F"/>
    <w:rsid w:val="00B41A07"/>
    <w:rsid w:val="00B42C82"/>
    <w:rsid w:val="00B431B1"/>
    <w:rsid w:val="00B44BCC"/>
    <w:rsid w:val="00B44DFB"/>
    <w:rsid w:val="00B4516E"/>
    <w:rsid w:val="00B46950"/>
    <w:rsid w:val="00B508DD"/>
    <w:rsid w:val="00B517F5"/>
    <w:rsid w:val="00B519C2"/>
    <w:rsid w:val="00B51C22"/>
    <w:rsid w:val="00B52D08"/>
    <w:rsid w:val="00B53AF9"/>
    <w:rsid w:val="00B53FCD"/>
    <w:rsid w:val="00B56A3C"/>
    <w:rsid w:val="00B56C15"/>
    <w:rsid w:val="00B5705C"/>
    <w:rsid w:val="00B57A50"/>
    <w:rsid w:val="00B6072D"/>
    <w:rsid w:val="00B6086C"/>
    <w:rsid w:val="00B60EB3"/>
    <w:rsid w:val="00B6172B"/>
    <w:rsid w:val="00B62353"/>
    <w:rsid w:val="00B624DD"/>
    <w:rsid w:val="00B62D05"/>
    <w:rsid w:val="00B63353"/>
    <w:rsid w:val="00B6346E"/>
    <w:rsid w:val="00B6407D"/>
    <w:rsid w:val="00B640E6"/>
    <w:rsid w:val="00B644C1"/>
    <w:rsid w:val="00B64577"/>
    <w:rsid w:val="00B645AD"/>
    <w:rsid w:val="00B64A5C"/>
    <w:rsid w:val="00B65948"/>
    <w:rsid w:val="00B65A57"/>
    <w:rsid w:val="00B66D3E"/>
    <w:rsid w:val="00B66E8B"/>
    <w:rsid w:val="00B674AD"/>
    <w:rsid w:val="00B707DC"/>
    <w:rsid w:val="00B70BDE"/>
    <w:rsid w:val="00B70F77"/>
    <w:rsid w:val="00B72732"/>
    <w:rsid w:val="00B72893"/>
    <w:rsid w:val="00B728CB"/>
    <w:rsid w:val="00B7396C"/>
    <w:rsid w:val="00B739ED"/>
    <w:rsid w:val="00B73A0B"/>
    <w:rsid w:val="00B742A1"/>
    <w:rsid w:val="00B74B4A"/>
    <w:rsid w:val="00B76851"/>
    <w:rsid w:val="00B77133"/>
    <w:rsid w:val="00B77949"/>
    <w:rsid w:val="00B77AAD"/>
    <w:rsid w:val="00B80DEA"/>
    <w:rsid w:val="00B81191"/>
    <w:rsid w:val="00B8137E"/>
    <w:rsid w:val="00B8151A"/>
    <w:rsid w:val="00B81691"/>
    <w:rsid w:val="00B82E1D"/>
    <w:rsid w:val="00B82ECD"/>
    <w:rsid w:val="00B836DE"/>
    <w:rsid w:val="00B838D5"/>
    <w:rsid w:val="00B839B2"/>
    <w:rsid w:val="00B83B65"/>
    <w:rsid w:val="00B84B22"/>
    <w:rsid w:val="00B84BC1"/>
    <w:rsid w:val="00B85B38"/>
    <w:rsid w:val="00B8681E"/>
    <w:rsid w:val="00B86E25"/>
    <w:rsid w:val="00B906DC"/>
    <w:rsid w:val="00B90BDC"/>
    <w:rsid w:val="00B924FE"/>
    <w:rsid w:val="00B926BB"/>
    <w:rsid w:val="00B930E7"/>
    <w:rsid w:val="00B931E9"/>
    <w:rsid w:val="00B933EE"/>
    <w:rsid w:val="00B93C81"/>
    <w:rsid w:val="00B93E49"/>
    <w:rsid w:val="00B9464E"/>
    <w:rsid w:val="00B94DFA"/>
    <w:rsid w:val="00B94EDA"/>
    <w:rsid w:val="00B96881"/>
    <w:rsid w:val="00B96DCB"/>
    <w:rsid w:val="00B971A4"/>
    <w:rsid w:val="00B97554"/>
    <w:rsid w:val="00B97C73"/>
    <w:rsid w:val="00B97FF9"/>
    <w:rsid w:val="00BA051E"/>
    <w:rsid w:val="00BA0CF4"/>
    <w:rsid w:val="00BA1225"/>
    <w:rsid w:val="00BA301C"/>
    <w:rsid w:val="00BA3074"/>
    <w:rsid w:val="00BA3114"/>
    <w:rsid w:val="00BA3C3E"/>
    <w:rsid w:val="00BA4889"/>
    <w:rsid w:val="00BA55D0"/>
    <w:rsid w:val="00BA5F76"/>
    <w:rsid w:val="00BA6754"/>
    <w:rsid w:val="00BA6FEB"/>
    <w:rsid w:val="00BB0C65"/>
    <w:rsid w:val="00BB10A3"/>
    <w:rsid w:val="00BB1B58"/>
    <w:rsid w:val="00BB227B"/>
    <w:rsid w:val="00BB2B21"/>
    <w:rsid w:val="00BB2F81"/>
    <w:rsid w:val="00BB30AC"/>
    <w:rsid w:val="00BB36D0"/>
    <w:rsid w:val="00BB414B"/>
    <w:rsid w:val="00BB421A"/>
    <w:rsid w:val="00BB485F"/>
    <w:rsid w:val="00BB4EA8"/>
    <w:rsid w:val="00BB5195"/>
    <w:rsid w:val="00BB5811"/>
    <w:rsid w:val="00BB5C84"/>
    <w:rsid w:val="00BB7B7C"/>
    <w:rsid w:val="00BC0E5A"/>
    <w:rsid w:val="00BC1CF3"/>
    <w:rsid w:val="00BC21D9"/>
    <w:rsid w:val="00BC252A"/>
    <w:rsid w:val="00BC3150"/>
    <w:rsid w:val="00BC3515"/>
    <w:rsid w:val="00BC366B"/>
    <w:rsid w:val="00BC5631"/>
    <w:rsid w:val="00BC5EAB"/>
    <w:rsid w:val="00BC6062"/>
    <w:rsid w:val="00BC6A3A"/>
    <w:rsid w:val="00BC793E"/>
    <w:rsid w:val="00BD146F"/>
    <w:rsid w:val="00BD15EE"/>
    <w:rsid w:val="00BD1FAE"/>
    <w:rsid w:val="00BD2F28"/>
    <w:rsid w:val="00BD3C56"/>
    <w:rsid w:val="00BD6FD0"/>
    <w:rsid w:val="00BD7FF9"/>
    <w:rsid w:val="00BE16FB"/>
    <w:rsid w:val="00BE21BA"/>
    <w:rsid w:val="00BE2349"/>
    <w:rsid w:val="00BE2440"/>
    <w:rsid w:val="00BE38A6"/>
    <w:rsid w:val="00BE3B5F"/>
    <w:rsid w:val="00BE3D75"/>
    <w:rsid w:val="00BE4E49"/>
    <w:rsid w:val="00BE54CB"/>
    <w:rsid w:val="00BE5828"/>
    <w:rsid w:val="00BE7A0E"/>
    <w:rsid w:val="00BE7B15"/>
    <w:rsid w:val="00BE7F6F"/>
    <w:rsid w:val="00BF0F10"/>
    <w:rsid w:val="00BF1106"/>
    <w:rsid w:val="00BF11C8"/>
    <w:rsid w:val="00BF1453"/>
    <w:rsid w:val="00BF1DEB"/>
    <w:rsid w:val="00BF28AE"/>
    <w:rsid w:val="00BF2C41"/>
    <w:rsid w:val="00BF2CE3"/>
    <w:rsid w:val="00BF2DF9"/>
    <w:rsid w:val="00BF3A7C"/>
    <w:rsid w:val="00BF3C9E"/>
    <w:rsid w:val="00BF5A61"/>
    <w:rsid w:val="00BF5F27"/>
    <w:rsid w:val="00BF61E1"/>
    <w:rsid w:val="00BF6BFC"/>
    <w:rsid w:val="00BF7928"/>
    <w:rsid w:val="00BF7F51"/>
    <w:rsid w:val="00C00155"/>
    <w:rsid w:val="00C004F3"/>
    <w:rsid w:val="00C00B39"/>
    <w:rsid w:val="00C02075"/>
    <w:rsid w:val="00C0288E"/>
    <w:rsid w:val="00C028B7"/>
    <w:rsid w:val="00C02C19"/>
    <w:rsid w:val="00C02E05"/>
    <w:rsid w:val="00C03EBB"/>
    <w:rsid w:val="00C03FE1"/>
    <w:rsid w:val="00C0428F"/>
    <w:rsid w:val="00C04939"/>
    <w:rsid w:val="00C04F6B"/>
    <w:rsid w:val="00C0551B"/>
    <w:rsid w:val="00C0555C"/>
    <w:rsid w:val="00C06083"/>
    <w:rsid w:val="00C0687B"/>
    <w:rsid w:val="00C10D24"/>
    <w:rsid w:val="00C1157B"/>
    <w:rsid w:val="00C11F24"/>
    <w:rsid w:val="00C12513"/>
    <w:rsid w:val="00C155A7"/>
    <w:rsid w:val="00C15C3D"/>
    <w:rsid w:val="00C16411"/>
    <w:rsid w:val="00C1685D"/>
    <w:rsid w:val="00C20CD8"/>
    <w:rsid w:val="00C220C2"/>
    <w:rsid w:val="00C22FAA"/>
    <w:rsid w:val="00C230EE"/>
    <w:rsid w:val="00C2346B"/>
    <w:rsid w:val="00C24695"/>
    <w:rsid w:val="00C25071"/>
    <w:rsid w:val="00C262E9"/>
    <w:rsid w:val="00C26C48"/>
    <w:rsid w:val="00C27416"/>
    <w:rsid w:val="00C27DD7"/>
    <w:rsid w:val="00C31928"/>
    <w:rsid w:val="00C32463"/>
    <w:rsid w:val="00C326D4"/>
    <w:rsid w:val="00C3271D"/>
    <w:rsid w:val="00C32C7F"/>
    <w:rsid w:val="00C3356D"/>
    <w:rsid w:val="00C33576"/>
    <w:rsid w:val="00C33FA5"/>
    <w:rsid w:val="00C34856"/>
    <w:rsid w:val="00C34922"/>
    <w:rsid w:val="00C350AF"/>
    <w:rsid w:val="00C363B9"/>
    <w:rsid w:val="00C36586"/>
    <w:rsid w:val="00C36835"/>
    <w:rsid w:val="00C36924"/>
    <w:rsid w:val="00C37FE3"/>
    <w:rsid w:val="00C40A95"/>
    <w:rsid w:val="00C41D07"/>
    <w:rsid w:val="00C426CA"/>
    <w:rsid w:val="00C430A8"/>
    <w:rsid w:val="00C43AEE"/>
    <w:rsid w:val="00C43BC0"/>
    <w:rsid w:val="00C4591F"/>
    <w:rsid w:val="00C45F72"/>
    <w:rsid w:val="00C461AA"/>
    <w:rsid w:val="00C46368"/>
    <w:rsid w:val="00C471A3"/>
    <w:rsid w:val="00C471D3"/>
    <w:rsid w:val="00C47554"/>
    <w:rsid w:val="00C479F9"/>
    <w:rsid w:val="00C47AAD"/>
    <w:rsid w:val="00C5124C"/>
    <w:rsid w:val="00C51344"/>
    <w:rsid w:val="00C521F3"/>
    <w:rsid w:val="00C52B52"/>
    <w:rsid w:val="00C53393"/>
    <w:rsid w:val="00C53A44"/>
    <w:rsid w:val="00C53F05"/>
    <w:rsid w:val="00C54B51"/>
    <w:rsid w:val="00C551B0"/>
    <w:rsid w:val="00C5684D"/>
    <w:rsid w:val="00C5717F"/>
    <w:rsid w:val="00C57222"/>
    <w:rsid w:val="00C5779C"/>
    <w:rsid w:val="00C61866"/>
    <w:rsid w:val="00C61FB3"/>
    <w:rsid w:val="00C621F8"/>
    <w:rsid w:val="00C62B3E"/>
    <w:rsid w:val="00C63794"/>
    <w:rsid w:val="00C63ACA"/>
    <w:rsid w:val="00C63F89"/>
    <w:rsid w:val="00C65017"/>
    <w:rsid w:val="00C6514A"/>
    <w:rsid w:val="00C659DD"/>
    <w:rsid w:val="00C66A10"/>
    <w:rsid w:val="00C700C5"/>
    <w:rsid w:val="00C70649"/>
    <w:rsid w:val="00C71A94"/>
    <w:rsid w:val="00C72931"/>
    <w:rsid w:val="00C72C3C"/>
    <w:rsid w:val="00C736A0"/>
    <w:rsid w:val="00C73AA7"/>
    <w:rsid w:val="00C7458D"/>
    <w:rsid w:val="00C746DA"/>
    <w:rsid w:val="00C74AD5"/>
    <w:rsid w:val="00C74C17"/>
    <w:rsid w:val="00C769A1"/>
    <w:rsid w:val="00C76C80"/>
    <w:rsid w:val="00C7791C"/>
    <w:rsid w:val="00C80AAB"/>
    <w:rsid w:val="00C81407"/>
    <w:rsid w:val="00C81525"/>
    <w:rsid w:val="00C825E9"/>
    <w:rsid w:val="00C82B64"/>
    <w:rsid w:val="00C82BAE"/>
    <w:rsid w:val="00C82EEC"/>
    <w:rsid w:val="00C83831"/>
    <w:rsid w:val="00C83F2C"/>
    <w:rsid w:val="00C84AF1"/>
    <w:rsid w:val="00C84B13"/>
    <w:rsid w:val="00C84DB2"/>
    <w:rsid w:val="00C84FCF"/>
    <w:rsid w:val="00C85229"/>
    <w:rsid w:val="00C865D6"/>
    <w:rsid w:val="00C86A76"/>
    <w:rsid w:val="00C86ADC"/>
    <w:rsid w:val="00C86FDC"/>
    <w:rsid w:val="00C9076C"/>
    <w:rsid w:val="00C911A3"/>
    <w:rsid w:val="00C91362"/>
    <w:rsid w:val="00C91B5A"/>
    <w:rsid w:val="00C925D0"/>
    <w:rsid w:val="00C938CF"/>
    <w:rsid w:val="00C93A96"/>
    <w:rsid w:val="00C93F6D"/>
    <w:rsid w:val="00C9778C"/>
    <w:rsid w:val="00C977C2"/>
    <w:rsid w:val="00CA0500"/>
    <w:rsid w:val="00CA1836"/>
    <w:rsid w:val="00CA2430"/>
    <w:rsid w:val="00CA3094"/>
    <w:rsid w:val="00CA32E9"/>
    <w:rsid w:val="00CA3746"/>
    <w:rsid w:val="00CA3B32"/>
    <w:rsid w:val="00CA474E"/>
    <w:rsid w:val="00CA477D"/>
    <w:rsid w:val="00CA50D7"/>
    <w:rsid w:val="00CA56B6"/>
    <w:rsid w:val="00CA56D0"/>
    <w:rsid w:val="00CA759A"/>
    <w:rsid w:val="00CA7AB5"/>
    <w:rsid w:val="00CA7D40"/>
    <w:rsid w:val="00CA7FF3"/>
    <w:rsid w:val="00CB0EFA"/>
    <w:rsid w:val="00CB119D"/>
    <w:rsid w:val="00CB2E3F"/>
    <w:rsid w:val="00CB30E8"/>
    <w:rsid w:val="00CB317D"/>
    <w:rsid w:val="00CB3DA2"/>
    <w:rsid w:val="00CB45BA"/>
    <w:rsid w:val="00CB53CB"/>
    <w:rsid w:val="00CB5B70"/>
    <w:rsid w:val="00CB5EFE"/>
    <w:rsid w:val="00CB6A5E"/>
    <w:rsid w:val="00CC0DBF"/>
    <w:rsid w:val="00CC0F2A"/>
    <w:rsid w:val="00CC1BF6"/>
    <w:rsid w:val="00CC1D8A"/>
    <w:rsid w:val="00CC363C"/>
    <w:rsid w:val="00CC3801"/>
    <w:rsid w:val="00CC38D6"/>
    <w:rsid w:val="00CC4BEA"/>
    <w:rsid w:val="00CC64A1"/>
    <w:rsid w:val="00CC66DD"/>
    <w:rsid w:val="00CC7037"/>
    <w:rsid w:val="00CC726E"/>
    <w:rsid w:val="00CD0A54"/>
    <w:rsid w:val="00CD12E7"/>
    <w:rsid w:val="00CD14F4"/>
    <w:rsid w:val="00CD18E8"/>
    <w:rsid w:val="00CD1BB8"/>
    <w:rsid w:val="00CD3099"/>
    <w:rsid w:val="00CD3FA8"/>
    <w:rsid w:val="00CD42DE"/>
    <w:rsid w:val="00CD4E0C"/>
    <w:rsid w:val="00CD516D"/>
    <w:rsid w:val="00CD63EE"/>
    <w:rsid w:val="00CD6A26"/>
    <w:rsid w:val="00CD6E08"/>
    <w:rsid w:val="00CE0D2A"/>
    <w:rsid w:val="00CE1225"/>
    <w:rsid w:val="00CE1473"/>
    <w:rsid w:val="00CE1795"/>
    <w:rsid w:val="00CE1ABF"/>
    <w:rsid w:val="00CE1CE3"/>
    <w:rsid w:val="00CE1E5F"/>
    <w:rsid w:val="00CE2047"/>
    <w:rsid w:val="00CE2C73"/>
    <w:rsid w:val="00CE3693"/>
    <w:rsid w:val="00CE375B"/>
    <w:rsid w:val="00CE39D0"/>
    <w:rsid w:val="00CE3C3C"/>
    <w:rsid w:val="00CE41D9"/>
    <w:rsid w:val="00CE4A9E"/>
    <w:rsid w:val="00CE5091"/>
    <w:rsid w:val="00CE541C"/>
    <w:rsid w:val="00CE559D"/>
    <w:rsid w:val="00CE573B"/>
    <w:rsid w:val="00CE5839"/>
    <w:rsid w:val="00CE5EF0"/>
    <w:rsid w:val="00CF0BCA"/>
    <w:rsid w:val="00CF1169"/>
    <w:rsid w:val="00CF1338"/>
    <w:rsid w:val="00CF1398"/>
    <w:rsid w:val="00CF1A8F"/>
    <w:rsid w:val="00CF1DB9"/>
    <w:rsid w:val="00CF3D12"/>
    <w:rsid w:val="00CF54A4"/>
    <w:rsid w:val="00CF5791"/>
    <w:rsid w:val="00CF5B43"/>
    <w:rsid w:val="00CF5BCC"/>
    <w:rsid w:val="00CF5C00"/>
    <w:rsid w:val="00CF5F71"/>
    <w:rsid w:val="00CF5FD1"/>
    <w:rsid w:val="00CF6783"/>
    <w:rsid w:val="00CF7C47"/>
    <w:rsid w:val="00CF7EF2"/>
    <w:rsid w:val="00D00293"/>
    <w:rsid w:val="00D00F5B"/>
    <w:rsid w:val="00D0186C"/>
    <w:rsid w:val="00D020D8"/>
    <w:rsid w:val="00D0255F"/>
    <w:rsid w:val="00D0296C"/>
    <w:rsid w:val="00D036DC"/>
    <w:rsid w:val="00D043AD"/>
    <w:rsid w:val="00D047F3"/>
    <w:rsid w:val="00D049AB"/>
    <w:rsid w:val="00D049B7"/>
    <w:rsid w:val="00D04EA0"/>
    <w:rsid w:val="00D055D3"/>
    <w:rsid w:val="00D05666"/>
    <w:rsid w:val="00D05D3C"/>
    <w:rsid w:val="00D05E87"/>
    <w:rsid w:val="00D06469"/>
    <w:rsid w:val="00D0736F"/>
    <w:rsid w:val="00D10439"/>
    <w:rsid w:val="00D1054A"/>
    <w:rsid w:val="00D1098A"/>
    <w:rsid w:val="00D12DE2"/>
    <w:rsid w:val="00D131C0"/>
    <w:rsid w:val="00D14830"/>
    <w:rsid w:val="00D15EFD"/>
    <w:rsid w:val="00D16816"/>
    <w:rsid w:val="00D16CF0"/>
    <w:rsid w:val="00D16EFD"/>
    <w:rsid w:val="00D17005"/>
    <w:rsid w:val="00D172DB"/>
    <w:rsid w:val="00D176A7"/>
    <w:rsid w:val="00D17FB3"/>
    <w:rsid w:val="00D20FBF"/>
    <w:rsid w:val="00D2111E"/>
    <w:rsid w:val="00D21745"/>
    <w:rsid w:val="00D21B80"/>
    <w:rsid w:val="00D21E74"/>
    <w:rsid w:val="00D23F15"/>
    <w:rsid w:val="00D24360"/>
    <w:rsid w:val="00D24E03"/>
    <w:rsid w:val="00D25B75"/>
    <w:rsid w:val="00D25FF5"/>
    <w:rsid w:val="00D266F1"/>
    <w:rsid w:val="00D26E45"/>
    <w:rsid w:val="00D273AC"/>
    <w:rsid w:val="00D305A8"/>
    <w:rsid w:val="00D30763"/>
    <w:rsid w:val="00D3184E"/>
    <w:rsid w:val="00D324AA"/>
    <w:rsid w:val="00D33070"/>
    <w:rsid w:val="00D332A6"/>
    <w:rsid w:val="00D339DA"/>
    <w:rsid w:val="00D33A6B"/>
    <w:rsid w:val="00D3437F"/>
    <w:rsid w:val="00D34414"/>
    <w:rsid w:val="00D365CB"/>
    <w:rsid w:val="00D36BCF"/>
    <w:rsid w:val="00D36BF6"/>
    <w:rsid w:val="00D37EA6"/>
    <w:rsid w:val="00D41305"/>
    <w:rsid w:val="00D416B4"/>
    <w:rsid w:val="00D41884"/>
    <w:rsid w:val="00D4344F"/>
    <w:rsid w:val="00D43B49"/>
    <w:rsid w:val="00D448BA"/>
    <w:rsid w:val="00D44C19"/>
    <w:rsid w:val="00D44DD5"/>
    <w:rsid w:val="00D454EA"/>
    <w:rsid w:val="00D461A4"/>
    <w:rsid w:val="00D462AE"/>
    <w:rsid w:val="00D479F9"/>
    <w:rsid w:val="00D50A0F"/>
    <w:rsid w:val="00D51113"/>
    <w:rsid w:val="00D51288"/>
    <w:rsid w:val="00D51424"/>
    <w:rsid w:val="00D51588"/>
    <w:rsid w:val="00D5177B"/>
    <w:rsid w:val="00D51A4F"/>
    <w:rsid w:val="00D51FCA"/>
    <w:rsid w:val="00D520DD"/>
    <w:rsid w:val="00D52A41"/>
    <w:rsid w:val="00D52F55"/>
    <w:rsid w:val="00D54163"/>
    <w:rsid w:val="00D54422"/>
    <w:rsid w:val="00D54AE7"/>
    <w:rsid w:val="00D54CD1"/>
    <w:rsid w:val="00D54D3A"/>
    <w:rsid w:val="00D557C3"/>
    <w:rsid w:val="00D565C3"/>
    <w:rsid w:val="00D56643"/>
    <w:rsid w:val="00D56C98"/>
    <w:rsid w:val="00D57726"/>
    <w:rsid w:val="00D60472"/>
    <w:rsid w:val="00D60570"/>
    <w:rsid w:val="00D6096C"/>
    <w:rsid w:val="00D61214"/>
    <w:rsid w:val="00D61A7F"/>
    <w:rsid w:val="00D623D5"/>
    <w:rsid w:val="00D6298C"/>
    <w:rsid w:val="00D63374"/>
    <w:rsid w:val="00D6407D"/>
    <w:rsid w:val="00D640B7"/>
    <w:rsid w:val="00D64281"/>
    <w:rsid w:val="00D6465C"/>
    <w:rsid w:val="00D64BC5"/>
    <w:rsid w:val="00D65578"/>
    <w:rsid w:val="00D65865"/>
    <w:rsid w:val="00D66040"/>
    <w:rsid w:val="00D662D1"/>
    <w:rsid w:val="00D667B0"/>
    <w:rsid w:val="00D6697D"/>
    <w:rsid w:val="00D675CB"/>
    <w:rsid w:val="00D7020D"/>
    <w:rsid w:val="00D703A5"/>
    <w:rsid w:val="00D706CF"/>
    <w:rsid w:val="00D70BD8"/>
    <w:rsid w:val="00D71760"/>
    <w:rsid w:val="00D71BBB"/>
    <w:rsid w:val="00D72A36"/>
    <w:rsid w:val="00D72C88"/>
    <w:rsid w:val="00D734D9"/>
    <w:rsid w:val="00D740D6"/>
    <w:rsid w:val="00D74210"/>
    <w:rsid w:val="00D7436C"/>
    <w:rsid w:val="00D745BE"/>
    <w:rsid w:val="00D74DB0"/>
    <w:rsid w:val="00D75A98"/>
    <w:rsid w:val="00D76C66"/>
    <w:rsid w:val="00D7733F"/>
    <w:rsid w:val="00D80A47"/>
    <w:rsid w:val="00D8113B"/>
    <w:rsid w:val="00D8139D"/>
    <w:rsid w:val="00D81C56"/>
    <w:rsid w:val="00D81E63"/>
    <w:rsid w:val="00D82837"/>
    <w:rsid w:val="00D83061"/>
    <w:rsid w:val="00D83860"/>
    <w:rsid w:val="00D83A78"/>
    <w:rsid w:val="00D83D10"/>
    <w:rsid w:val="00D84509"/>
    <w:rsid w:val="00D84BAF"/>
    <w:rsid w:val="00D84E40"/>
    <w:rsid w:val="00D8594A"/>
    <w:rsid w:val="00D86C10"/>
    <w:rsid w:val="00D90235"/>
    <w:rsid w:val="00D914D4"/>
    <w:rsid w:val="00D924B6"/>
    <w:rsid w:val="00D931E2"/>
    <w:rsid w:val="00D93FAE"/>
    <w:rsid w:val="00D94F59"/>
    <w:rsid w:val="00D95709"/>
    <w:rsid w:val="00D95E70"/>
    <w:rsid w:val="00D96362"/>
    <w:rsid w:val="00D96544"/>
    <w:rsid w:val="00D96A33"/>
    <w:rsid w:val="00D96DEE"/>
    <w:rsid w:val="00DA2459"/>
    <w:rsid w:val="00DA258C"/>
    <w:rsid w:val="00DA2D6E"/>
    <w:rsid w:val="00DA328D"/>
    <w:rsid w:val="00DA5495"/>
    <w:rsid w:val="00DA5510"/>
    <w:rsid w:val="00DA5981"/>
    <w:rsid w:val="00DA6002"/>
    <w:rsid w:val="00DA6AC7"/>
    <w:rsid w:val="00DA6E41"/>
    <w:rsid w:val="00DA6EBA"/>
    <w:rsid w:val="00DA7C4B"/>
    <w:rsid w:val="00DA7DE8"/>
    <w:rsid w:val="00DB1691"/>
    <w:rsid w:val="00DB19FA"/>
    <w:rsid w:val="00DB1FBF"/>
    <w:rsid w:val="00DB2207"/>
    <w:rsid w:val="00DB2D8B"/>
    <w:rsid w:val="00DB2E9C"/>
    <w:rsid w:val="00DB317E"/>
    <w:rsid w:val="00DB321D"/>
    <w:rsid w:val="00DB3B77"/>
    <w:rsid w:val="00DB4E60"/>
    <w:rsid w:val="00DB4F30"/>
    <w:rsid w:val="00DB5D37"/>
    <w:rsid w:val="00DB7A6E"/>
    <w:rsid w:val="00DB7BF2"/>
    <w:rsid w:val="00DC048D"/>
    <w:rsid w:val="00DC1142"/>
    <w:rsid w:val="00DC288A"/>
    <w:rsid w:val="00DC4052"/>
    <w:rsid w:val="00DC45B5"/>
    <w:rsid w:val="00DC4A4B"/>
    <w:rsid w:val="00DC4DAD"/>
    <w:rsid w:val="00DC5DE8"/>
    <w:rsid w:val="00DC5E61"/>
    <w:rsid w:val="00DC5F81"/>
    <w:rsid w:val="00DC620D"/>
    <w:rsid w:val="00DC66DC"/>
    <w:rsid w:val="00DC6A34"/>
    <w:rsid w:val="00DC6BB6"/>
    <w:rsid w:val="00DC7433"/>
    <w:rsid w:val="00DD00CA"/>
    <w:rsid w:val="00DD073D"/>
    <w:rsid w:val="00DD0DA5"/>
    <w:rsid w:val="00DD13EB"/>
    <w:rsid w:val="00DD4145"/>
    <w:rsid w:val="00DD50D5"/>
    <w:rsid w:val="00DD5EA4"/>
    <w:rsid w:val="00DD624E"/>
    <w:rsid w:val="00DD672C"/>
    <w:rsid w:val="00DD7380"/>
    <w:rsid w:val="00DE1604"/>
    <w:rsid w:val="00DE2032"/>
    <w:rsid w:val="00DE2152"/>
    <w:rsid w:val="00DE36EF"/>
    <w:rsid w:val="00DE3D11"/>
    <w:rsid w:val="00DE4089"/>
    <w:rsid w:val="00DE474A"/>
    <w:rsid w:val="00DE5224"/>
    <w:rsid w:val="00DE63C2"/>
    <w:rsid w:val="00DE6C4D"/>
    <w:rsid w:val="00DF0599"/>
    <w:rsid w:val="00DF1A12"/>
    <w:rsid w:val="00DF2891"/>
    <w:rsid w:val="00DF3308"/>
    <w:rsid w:val="00DF46DF"/>
    <w:rsid w:val="00DF4829"/>
    <w:rsid w:val="00DF5116"/>
    <w:rsid w:val="00DF5401"/>
    <w:rsid w:val="00DF5F2A"/>
    <w:rsid w:val="00DF6745"/>
    <w:rsid w:val="00DF7316"/>
    <w:rsid w:val="00DF7FB6"/>
    <w:rsid w:val="00E00B93"/>
    <w:rsid w:val="00E015EC"/>
    <w:rsid w:val="00E016A3"/>
    <w:rsid w:val="00E024ED"/>
    <w:rsid w:val="00E024EE"/>
    <w:rsid w:val="00E03632"/>
    <w:rsid w:val="00E03656"/>
    <w:rsid w:val="00E045C8"/>
    <w:rsid w:val="00E04CA3"/>
    <w:rsid w:val="00E04E49"/>
    <w:rsid w:val="00E052E7"/>
    <w:rsid w:val="00E06197"/>
    <w:rsid w:val="00E06A42"/>
    <w:rsid w:val="00E06FFA"/>
    <w:rsid w:val="00E078F4"/>
    <w:rsid w:val="00E07A34"/>
    <w:rsid w:val="00E101AD"/>
    <w:rsid w:val="00E105CA"/>
    <w:rsid w:val="00E10B9E"/>
    <w:rsid w:val="00E116C2"/>
    <w:rsid w:val="00E1185F"/>
    <w:rsid w:val="00E11E08"/>
    <w:rsid w:val="00E12AEC"/>
    <w:rsid w:val="00E12F38"/>
    <w:rsid w:val="00E132C9"/>
    <w:rsid w:val="00E1455B"/>
    <w:rsid w:val="00E14E59"/>
    <w:rsid w:val="00E156E1"/>
    <w:rsid w:val="00E16EB5"/>
    <w:rsid w:val="00E20AEB"/>
    <w:rsid w:val="00E21AFE"/>
    <w:rsid w:val="00E23145"/>
    <w:rsid w:val="00E23245"/>
    <w:rsid w:val="00E23A5E"/>
    <w:rsid w:val="00E2419F"/>
    <w:rsid w:val="00E243C5"/>
    <w:rsid w:val="00E24609"/>
    <w:rsid w:val="00E257AA"/>
    <w:rsid w:val="00E25D9F"/>
    <w:rsid w:val="00E27DA7"/>
    <w:rsid w:val="00E308B0"/>
    <w:rsid w:val="00E30E0A"/>
    <w:rsid w:val="00E31D41"/>
    <w:rsid w:val="00E31EE4"/>
    <w:rsid w:val="00E3222C"/>
    <w:rsid w:val="00E32D74"/>
    <w:rsid w:val="00E32EC1"/>
    <w:rsid w:val="00E3341E"/>
    <w:rsid w:val="00E33984"/>
    <w:rsid w:val="00E3595F"/>
    <w:rsid w:val="00E35EB1"/>
    <w:rsid w:val="00E35F1C"/>
    <w:rsid w:val="00E365F1"/>
    <w:rsid w:val="00E37A13"/>
    <w:rsid w:val="00E404F7"/>
    <w:rsid w:val="00E405F1"/>
    <w:rsid w:val="00E41287"/>
    <w:rsid w:val="00E4169A"/>
    <w:rsid w:val="00E41D0A"/>
    <w:rsid w:val="00E424B4"/>
    <w:rsid w:val="00E42ADC"/>
    <w:rsid w:val="00E42C3D"/>
    <w:rsid w:val="00E43965"/>
    <w:rsid w:val="00E43E4C"/>
    <w:rsid w:val="00E446DC"/>
    <w:rsid w:val="00E4471F"/>
    <w:rsid w:val="00E44FDD"/>
    <w:rsid w:val="00E46647"/>
    <w:rsid w:val="00E466CD"/>
    <w:rsid w:val="00E46747"/>
    <w:rsid w:val="00E475E2"/>
    <w:rsid w:val="00E477EB"/>
    <w:rsid w:val="00E50A1B"/>
    <w:rsid w:val="00E50B4D"/>
    <w:rsid w:val="00E51E2E"/>
    <w:rsid w:val="00E533DD"/>
    <w:rsid w:val="00E534F5"/>
    <w:rsid w:val="00E54028"/>
    <w:rsid w:val="00E5422C"/>
    <w:rsid w:val="00E549EF"/>
    <w:rsid w:val="00E5590D"/>
    <w:rsid w:val="00E56D9B"/>
    <w:rsid w:val="00E5747E"/>
    <w:rsid w:val="00E574A1"/>
    <w:rsid w:val="00E605F6"/>
    <w:rsid w:val="00E60CB8"/>
    <w:rsid w:val="00E6182A"/>
    <w:rsid w:val="00E626E7"/>
    <w:rsid w:val="00E62D21"/>
    <w:rsid w:val="00E634B3"/>
    <w:rsid w:val="00E63616"/>
    <w:rsid w:val="00E63B18"/>
    <w:rsid w:val="00E63F5B"/>
    <w:rsid w:val="00E64694"/>
    <w:rsid w:val="00E64765"/>
    <w:rsid w:val="00E66A94"/>
    <w:rsid w:val="00E66D3D"/>
    <w:rsid w:val="00E67094"/>
    <w:rsid w:val="00E67198"/>
    <w:rsid w:val="00E67391"/>
    <w:rsid w:val="00E676E6"/>
    <w:rsid w:val="00E67B47"/>
    <w:rsid w:val="00E70127"/>
    <w:rsid w:val="00E70236"/>
    <w:rsid w:val="00E71C34"/>
    <w:rsid w:val="00E7335A"/>
    <w:rsid w:val="00E737D7"/>
    <w:rsid w:val="00E7430C"/>
    <w:rsid w:val="00E746FD"/>
    <w:rsid w:val="00E747D6"/>
    <w:rsid w:val="00E7592F"/>
    <w:rsid w:val="00E7596D"/>
    <w:rsid w:val="00E75DD3"/>
    <w:rsid w:val="00E760B4"/>
    <w:rsid w:val="00E76FF1"/>
    <w:rsid w:val="00E77D44"/>
    <w:rsid w:val="00E8002B"/>
    <w:rsid w:val="00E80373"/>
    <w:rsid w:val="00E80BDB"/>
    <w:rsid w:val="00E80C9B"/>
    <w:rsid w:val="00E8107C"/>
    <w:rsid w:val="00E81518"/>
    <w:rsid w:val="00E81779"/>
    <w:rsid w:val="00E818B4"/>
    <w:rsid w:val="00E82169"/>
    <w:rsid w:val="00E82DEA"/>
    <w:rsid w:val="00E83661"/>
    <w:rsid w:val="00E8376F"/>
    <w:rsid w:val="00E83790"/>
    <w:rsid w:val="00E84513"/>
    <w:rsid w:val="00E845D0"/>
    <w:rsid w:val="00E849C2"/>
    <w:rsid w:val="00E86158"/>
    <w:rsid w:val="00E86405"/>
    <w:rsid w:val="00E86C01"/>
    <w:rsid w:val="00E87764"/>
    <w:rsid w:val="00E879F5"/>
    <w:rsid w:val="00E87A0A"/>
    <w:rsid w:val="00E90A9E"/>
    <w:rsid w:val="00E90BD3"/>
    <w:rsid w:val="00E90D9A"/>
    <w:rsid w:val="00E91183"/>
    <w:rsid w:val="00E9174A"/>
    <w:rsid w:val="00E917E6"/>
    <w:rsid w:val="00E92653"/>
    <w:rsid w:val="00E93626"/>
    <w:rsid w:val="00E938E0"/>
    <w:rsid w:val="00E95A24"/>
    <w:rsid w:val="00E963C0"/>
    <w:rsid w:val="00E96DD5"/>
    <w:rsid w:val="00E9709A"/>
    <w:rsid w:val="00E97B02"/>
    <w:rsid w:val="00E97C35"/>
    <w:rsid w:val="00EA017E"/>
    <w:rsid w:val="00EA0F67"/>
    <w:rsid w:val="00EA1BD4"/>
    <w:rsid w:val="00EA1E76"/>
    <w:rsid w:val="00EA223A"/>
    <w:rsid w:val="00EA2838"/>
    <w:rsid w:val="00EA2B7A"/>
    <w:rsid w:val="00EA31B6"/>
    <w:rsid w:val="00EA3D73"/>
    <w:rsid w:val="00EA3DCE"/>
    <w:rsid w:val="00EA4051"/>
    <w:rsid w:val="00EA498E"/>
    <w:rsid w:val="00EA53F2"/>
    <w:rsid w:val="00EA5D63"/>
    <w:rsid w:val="00EA5D80"/>
    <w:rsid w:val="00EA5FF0"/>
    <w:rsid w:val="00EA64C1"/>
    <w:rsid w:val="00EA6970"/>
    <w:rsid w:val="00EA73E2"/>
    <w:rsid w:val="00EA7BA0"/>
    <w:rsid w:val="00EA7BC0"/>
    <w:rsid w:val="00EB00B9"/>
    <w:rsid w:val="00EB0C56"/>
    <w:rsid w:val="00EB118C"/>
    <w:rsid w:val="00EB1BB9"/>
    <w:rsid w:val="00EB2EC0"/>
    <w:rsid w:val="00EB3A8E"/>
    <w:rsid w:val="00EB499A"/>
    <w:rsid w:val="00EB51A2"/>
    <w:rsid w:val="00EB5282"/>
    <w:rsid w:val="00EB5382"/>
    <w:rsid w:val="00EB6873"/>
    <w:rsid w:val="00EB6EB4"/>
    <w:rsid w:val="00EB756A"/>
    <w:rsid w:val="00EB75E1"/>
    <w:rsid w:val="00EC0059"/>
    <w:rsid w:val="00EC0CDC"/>
    <w:rsid w:val="00EC10EB"/>
    <w:rsid w:val="00EC129F"/>
    <w:rsid w:val="00EC187D"/>
    <w:rsid w:val="00EC1C9F"/>
    <w:rsid w:val="00EC3438"/>
    <w:rsid w:val="00EC397E"/>
    <w:rsid w:val="00EC41F4"/>
    <w:rsid w:val="00EC446B"/>
    <w:rsid w:val="00EC47E4"/>
    <w:rsid w:val="00EC4C4D"/>
    <w:rsid w:val="00EC57F4"/>
    <w:rsid w:val="00EC58B4"/>
    <w:rsid w:val="00EC6221"/>
    <w:rsid w:val="00EC6BDB"/>
    <w:rsid w:val="00EC72C6"/>
    <w:rsid w:val="00EC745E"/>
    <w:rsid w:val="00EC768B"/>
    <w:rsid w:val="00EC7893"/>
    <w:rsid w:val="00EC7ED2"/>
    <w:rsid w:val="00ED08DF"/>
    <w:rsid w:val="00ED0A61"/>
    <w:rsid w:val="00ED1D58"/>
    <w:rsid w:val="00ED2AEB"/>
    <w:rsid w:val="00ED3253"/>
    <w:rsid w:val="00ED6887"/>
    <w:rsid w:val="00ED6C1B"/>
    <w:rsid w:val="00ED6F7C"/>
    <w:rsid w:val="00EE0AE4"/>
    <w:rsid w:val="00EE1E52"/>
    <w:rsid w:val="00EE1F0B"/>
    <w:rsid w:val="00EE243F"/>
    <w:rsid w:val="00EE2A0B"/>
    <w:rsid w:val="00EE3122"/>
    <w:rsid w:val="00EE3322"/>
    <w:rsid w:val="00EE34AB"/>
    <w:rsid w:val="00EE3738"/>
    <w:rsid w:val="00EE3D15"/>
    <w:rsid w:val="00EE4678"/>
    <w:rsid w:val="00EE4815"/>
    <w:rsid w:val="00EE5F70"/>
    <w:rsid w:val="00EE741C"/>
    <w:rsid w:val="00EE74D2"/>
    <w:rsid w:val="00EE7750"/>
    <w:rsid w:val="00EE7838"/>
    <w:rsid w:val="00EE78D1"/>
    <w:rsid w:val="00EF0040"/>
    <w:rsid w:val="00EF014B"/>
    <w:rsid w:val="00EF02CE"/>
    <w:rsid w:val="00EF10F2"/>
    <w:rsid w:val="00EF1FAF"/>
    <w:rsid w:val="00EF283A"/>
    <w:rsid w:val="00EF291C"/>
    <w:rsid w:val="00EF4FDA"/>
    <w:rsid w:val="00EF6776"/>
    <w:rsid w:val="00F00131"/>
    <w:rsid w:val="00F006C6"/>
    <w:rsid w:val="00F026C8"/>
    <w:rsid w:val="00F02A3E"/>
    <w:rsid w:val="00F02F63"/>
    <w:rsid w:val="00F03741"/>
    <w:rsid w:val="00F039E0"/>
    <w:rsid w:val="00F041DC"/>
    <w:rsid w:val="00F04406"/>
    <w:rsid w:val="00F04867"/>
    <w:rsid w:val="00F05E2E"/>
    <w:rsid w:val="00F063A3"/>
    <w:rsid w:val="00F066B7"/>
    <w:rsid w:val="00F07F38"/>
    <w:rsid w:val="00F115D4"/>
    <w:rsid w:val="00F11D62"/>
    <w:rsid w:val="00F12F27"/>
    <w:rsid w:val="00F132C0"/>
    <w:rsid w:val="00F13E1B"/>
    <w:rsid w:val="00F14642"/>
    <w:rsid w:val="00F1476F"/>
    <w:rsid w:val="00F149EB"/>
    <w:rsid w:val="00F1505B"/>
    <w:rsid w:val="00F1512F"/>
    <w:rsid w:val="00F15BE6"/>
    <w:rsid w:val="00F179C0"/>
    <w:rsid w:val="00F20E18"/>
    <w:rsid w:val="00F221B8"/>
    <w:rsid w:val="00F22475"/>
    <w:rsid w:val="00F2248A"/>
    <w:rsid w:val="00F22B3D"/>
    <w:rsid w:val="00F231F9"/>
    <w:rsid w:val="00F2326F"/>
    <w:rsid w:val="00F2332D"/>
    <w:rsid w:val="00F234E7"/>
    <w:rsid w:val="00F23D6E"/>
    <w:rsid w:val="00F24045"/>
    <w:rsid w:val="00F241F5"/>
    <w:rsid w:val="00F25142"/>
    <w:rsid w:val="00F25640"/>
    <w:rsid w:val="00F25B9E"/>
    <w:rsid w:val="00F25FD5"/>
    <w:rsid w:val="00F31783"/>
    <w:rsid w:val="00F328C5"/>
    <w:rsid w:val="00F32BAF"/>
    <w:rsid w:val="00F32D65"/>
    <w:rsid w:val="00F33FE8"/>
    <w:rsid w:val="00F34163"/>
    <w:rsid w:val="00F34CD0"/>
    <w:rsid w:val="00F35A32"/>
    <w:rsid w:val="00F36AAD"/>
    <w:rsid w:val="00F37DF3"/>
    <w:rsid w:val="00F402CB"/>
    <w:rsid w:val="00F413D1"/>
    <w:rsid w:val="00F41576"/>
    <w:rsid w:val="00F418A6"/>
    <w:rsid w:val="00F4203B"/>
    <w:rsid w:val="00F42125"/>
    <w:rsid w:val="00F42907"/>
    <w:rsid w:val="00F42D85"/>
    <w:rsid w:val="00F43558"/>
    <w:rsid w:val="00F43823"/>
    <w:rsid w:val="00F43EEF"/>
    <w:rsid w:val="00F43FB8"/>
    <w:rsid w:val="00F44227"/>
    <w:rsid w:val="00F44ED1"/>
    <w:rsid w:val="00F44FB6"/>
    <w:rsid w:val="00F45862"/>
    <w:rsid w:val="00F45FE5"/>
    <w:rsid w:val="00F46265"/>
    <w:rsid w:val="00F47269"/>
    <w:rsid w:val="00F47E1C"/>
    <w:rsid w:val="00F51457"/>
    <w:rsid w:val="00F52D70"/>
    <w:rsid w:val="00F53253"/>
    <w:rsid w:val="00F533F8"/>
    <w:rsid w:val="00F53CA4"/>
    <w:rsid w:val="00F547AD"/>
    <w:rsid w:val="00F55481"/>
    <w:rsid w:val="00F55E4F"/>
    <w:rsid w:val="00F5709D"/>
    <w:rsid w:val="00F571E5"/>
    <w:rsid w:val="00F575DE"/>
    <w:rsid w:val="00F576C3"/>
    <w:rsid w:val="00F57B9A"/>
    <w:rsid w:val="00F57EB9"/>
    <w:rsid w:val="00F612C7"/>
    <w:rsid w:val="00F61391"/>
    <w:rsid w:val="00F62D5B"/>
    <w:rsid w:val="00F632F6"/>
    <w:rsid w:val="00F6365C"/>
    <w:rsid w:val="00F6411B"/>
    <w:rsid w:val="00F6470D"/>
    <w:rsid w:val="00F663D0"/>
    <w:rsid w:val="00F66678"/>
    <w:rsid w:val="00F70E83"/>
    <w:rsid w:val="00F721F8"/>
    <w:rsid w:val="00F72D00"/>
    <w:rsid w:val="00F7406A"/>
    <w:rsid w:val="00F74455"/>
    <w:rsid w:val="00F745FF"/>
    <w:rsid w:val="00F74D5B"/>
    <w:rsid w:val="00F75072"/>
    <w:rsid w:val="00F756D9"/>
    <w:rsid w:val="00F767D3"/>
    <w:rsid w:val="00F81B10"/>
    <w:rsid w:val="00F81ECC"/>
    <w:rsid w:val="00F83810"/>
    <w:rsid w:val="00F83E64"/>
    <w:rsid w:val="00F84438"/>
    <w:rsid w:val="00F845CE"/>
    <w:rsid w:val="00F853EB"/>
    <w:rsid w:val="00F859C9"/>
    <w:rsid w:val="00F86CD1"/>
    <w:rsid w:val="00F9066F"/>
    <w:rsid w:val="00F92CC1"/>
    <w:rsid w:val="00F9302F"/>
    <w:rsid w:val="00F93D6B"/>
    <w:rsid w:val="00F944FA"/>
    <w:rsid w:val="00F945A5"/>
    <w:rsid w:val="00F95F79"/>
    <w:rsid w:val="00F96672"/>
    <w:rsid w:val="00FA0723"/>
    <w:rsid w:val="00FA1943"/>
    <w:rsid w:val="00FA1B93"/>
    <w:rsid w:val="00FA1C8C"/>
    <w:rsid w:val="00FA1EEB"/>
    <w:rsid w:val="00FA274F"/>
    <w:rsid w:val="00FA2A89"/>
    <w:rsid w:val="00FA358F"/>
    <w:rsid w:val="00FA39F1"/>
    <w:rsid w:val="00FA41CC"/>
    <w:rsid w:val="00FA50AD"/>
    <w:rsid w:val="00FA51E4"/>
    <w:rsid w:val="00FA6057"/>
    <w:rsid w:val="00FA7710"/>
    <w:rsid w:val="00FB0175"/>
    <w:rsid w:val="00FB0205"/>
    <w:rsid w:val="00FB1A01"/>
    <w:rsid w:val="00FB1F1F"/>
    <w:rsid w:val="00FB2E74"/>
    <w:rsid w:val="00FB3EA5"/>
    <w:rsid w:val="00FB6529"/>
    <w:rsid w:val="00FB6826"/>
    <w:rsid w:val="00FC090D"/>
    <w:rsid w:val="00FC0A3F"/>
    <w:rsid w:val="00FC0BD5"/>
    <w:rsid w:val="00FC105D"/>
    <w:rsid w:val="00FC1ADF"/>
    <w:rsid w:val="00FC274B"/>
    <w:rsid w:val="00FC28FF"/>
    <w:rsid w:val="00FC2A14"/>
    <w:rsid w:val="00FC2FE4"/>
    <w:rsid w:val="00FC3842"/>
    <w:rsid w:val="00FC4142"/>
    <w:rsid w:val="00FC5A6A"/>
    <w:rsid w:val="00FC600E"/>
    <w:rsid w:val="00FD04E7"/>
    <w:rsid w:val="00FD073D"/>
    <w:rsid w:val="00FD13D3"/>
    <w:rsid w:val="00FD1CB4"/>
    <w:rsid w:val="00FD1F89"/>
    <w:rsid w:val="00FD24C5"/>
    <w:rsid w:val="00FD2B93"/>
    <w:rsid w:val="00FD301A"/>
    <w:rsid w:val="00FD3EE4"/>
    <w:rsid w:val="00FD47B4"/>
    <w:rsid w:val="00FD4CFF"/>
    <w:rsid w:val="00FD5B8A"/>
    <w:rsid w:val="00FD63C1"/>
    <w:rsid w:val="00FD74DC"/>
    <w:rsid w:val="00FE0CE6"/>
    <w:rsid w:val="00FE1FD0"/>
    <w:rsid w:val="00FE2C61"/>
    <w:rsid w:val="00FE39C6"/>
    <w:rsid w:val="00FE43A6"/>
    <w:rsid w:val="00FE5555"/>
    <w:rsid w:val="00FE5569"/>
    <w:rsid w:val="00FE59FC"/>
    <w:rsid w:val="00FE6BDE"/>
    <w:rsid w:val="00FE72FB"/>
    <w:rsid w:val="00FF04FF"/>
    <w:rsid w:val="00FF1D7E"/>
    <w:rsid w:val="00FF1EDB"/>
    <w:rsid w:val="00FF2803"/>
    <w:rsid w:val="00FF3413"/>
    <w:rsid w:val="00FF351B"/>
    <w:rsid w:val="00FF3CA1"/>
    <w:rsid w:val="00FF4F78"/>
    <w:rsid w:val="00FF52C5"/>
    <w:rsid w:val="00FF545F"/>
    <w:rsid w:val="00FF629C"/>
    <w:rsid w:val="00FF635F"/>
    <w:rsid w:val="00FF70DD"/>
    <w:rsid w:val="00FF7F76"/>
    <w:rsid w:val="02CDD885"/>
    <w:rsid w:val="443992CE"/>
    <w:rsid w:val="626E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2E5CE"/>
  <w15:chartTrackingRefBased/>
  <w15:docId w15:val="{2F8D7059-8AFC-43D6-AD52-CCEAF606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color w:val="000000" w:themeColor="text1"/>
        <w:sz w:val="24"/>
        <w:szCs w:val="22"/>
        <w:lang w:val="en-GB" w:eastAsia="en-US" w:bidi="ar-SA"/>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0FB"/>
    <w:pPr>
      <w:spacing w:after="0" w:line="240" w:lineRule="auto"/>
      <w:ind w:firstLine="0"/>
    </w:pPr>
    <w:rPr>
      <w:rFonts w:eastAsia="Times New Roman" w:cs="Times New Roman"/>
      <w:color w:val="auto"/>
      <w:szCs w:val="24"/>
      <w:lang w:val="en-NZ" w:eastAsia="en-GB"/>
    </w:rPr>
  </w:style>
  <w:style w:type="paragraph" w:styleId="Heading1">
    <w:name w:val="heading 1"/>
    <w:next w:val="Univeristy"/>
    <w:link w:val="Heading1Char"/>
    <w:autoRedefine/>
    <w:uiPriority w:val="9"/>
    <w:qFormat/>
    <w:rsid w:val="00C04939"/>
    <w:pPr>
      <w:keepNext/>
      <w:keepLines/>
      <w:numPr>
        <w:numId w:val="4"/>
      </w:numPr>
      <w:spacing w:before="240" w:after="0"/>
      <w:jc w:val="center"/>
      <w:outlineLvl w:val="0"/>
    </w:pPr>
    <w:rPr>
      <w:rFonts w:eastAsiaTheme="majorEastAsia" w:cstheme="majorBidi"/>
      <w:b/>
      <w:szCs w:val="32"/>
    </w:rPr>
  </w:style>
  <w:style w:type="paragraph" w:styleId="Heading2">
    <w:name w:val="heading 2"/>
    <w:next w:val="Univeristy"/>
    <w:link w:val="Heading2Char"/>
    <w:autoRedefine/>
    <w:uiPriority w:val="9"/>
    <w:unhideWhenUsed/>
    <w:qFormat/>
    <w:rsid w:val="006856B4"/>
    <w:pPr>
      <w:numPr>
        <w:ilvl w:val="1"/>
        <w:numId w:val="1"/>
      </w:numPr>
      <w:adjustRightInd w:val="0"/>
      <w:snapToGrid w:val="0"/>
      <w:spacing w:before="120" w:after="0" w:line="360" w:lineRule="auto"/>
      <w:ind w:left="0"/>
      <w:jc w:val="center"/>
      <w:outlineLvl w:val="1"/>
    </w:pPr>
    <w:rPr>
      <w:rFonts w:eastAsiaTheme="majorEastAsia" w:cstheme="majorBidi"/>
      <w:b/>
      <w:szCs w:val="26"/>
    </w:rPr>
  </w:style>
  <w:style w:type="paragraph" w:styleId="Heading3">
    <w:name w:val="heading 3"/>
    <w:basedOn w:val="Normal"/>
    <w:next w:val="Univeristy"/>
    <w:link w:val="Heading3Char"/>
    <w:autoRedefine/>
    <w:uiPriority w:val="9"/>
    <w:unhideWhenUsed/>
    <w:qFormat/>
    <w:rsid w:val="00C04939"/>
    <w:pPr>
      <w:keepNext/>
      <w:keepLines/>
      <w:numPr>
        <w:ilvl w:val="2"/>
        <w:numId w:val="1"/>
      </w:numPr>
      <w:spacing w:before="40" w:line="360" w:lineRule="auto"/>
      <w:outlineLvl w:val="2"/>
    </w:pPr>
    <w:rPr>
      <w:rFonts w:eastAsiaTheme="majorEastAsia" w:cstheme="majorBidi"/>
      <w:b/>
    </w:rPr>
  </w:style>
  <w:style w:type="paragraph" w:styleId="Heading4">
    <w:name w:val="heading 4"/>
    <w:basedOn w:val="Normal"/>
    <w:next w:val="Univeristy"/>
    <w:link w:val="Heading4Char"/>
    <w:autoRedefine/>
    <w:uiPriority w:val="9"/>
    <w:unhideWhenUsed/>
    <w:qFormat/>
    <w:rsid w:val="00C04939"/>
    <w:pPr>
      <w:keepNext/>
      <w:keepLines/>
      <w:numPr>
        <w:ilvl w:val="3"/>
        <w:numId w:val="1"/>
      </w:numPr>
      <w:spacing w:before="40" w:line="360" w:lineRule="auto"/>
      <w:outlineLvl w:val="3"/>
    </w:pPr>
    <w:rPr>
      <w:rFonts w:eastAsiaTheme="majorEastAsia" w:cstheme="majorBidi"/>
      <w:b/>
      <w:i/>
      <w:iCs/>
    </w:rPr>
  </w:style>
  <w:style w:type="paragraph" w:styleId="Heading5">
    <w:name w:val="heading 5"/>
    <w:basedOn w:val="Normal"/>
    <w:next w:val="Univeristy"/>
    <w:link w:val="Heading5Char"/>
    <w:autoRedefine/>
    <w:uiPriority w:val="9"/>
    <w:unhideWhenUsed/>
    <w:qFormat/>
    <w:rsid w:val="00C04939"/>
    <w:pPr>
      <w:keepNext/>
      <w:keepLines/>
      <w:numPr>
        <w:ilvl w:val="4"/>
        <w:numId w:val="1"/>
      </w:numPr>
      <w:spacing w:before="40" w:line="360" w:lineRule="auto"/>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C04939"/>
    <w:pPr>
      <w:keepNext/>
      <w:keepLines/>
      <w:numPr>
        <w:ilvl w:val="5"/>
        <w:numId w:val="1"/>
      </w:numPr>
      <w:spacing w:before="40" w:line="360"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04939"/>
    <w:pPr>
      <w:keepNext/>
      <w:keepLines/>
      <w:numPr>
        <w:ilvl w:val="6"/>
        <w:numId w:val="1"/>
      </w:numPr>
      <w:spacing w:before="40" w:line="36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04939"/>
    <w:pPr>
      <w:keepNext/>
      <w:keepLines/>
      <w:numPr>
        <w:ilvl w:val="7"/>
        <w:numId w:val="1"/>
      </w:numPr>
      <w:spacing w:before="4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4939"/>
    <w:pPr>
      <w:keepNext/>
      <w:keepLines/>
      <w:numPr>
        <w:ilvl w:val="8"/>
        <w:numId w:val="1"/>
      </w:numPr>
      <w:spacing w:before="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iveristy">
    <w:name w:val="Univeristy"/>
    <w:link w:val="UniveristyChar"/>
    <w:qFormat/>
    <w:rsid w:val="00726ABB"/>
    <w:pPr>
      <w:spacing w:line="480" w:lineRule="auto"/>
    </w:pPr>
  </w:style>
  <w:style w:type="character" w:customStyle="1" w:styleId="UniveristyChar">
    <w:name w:val="Univeristy Char"/>
    <w:basedOn w:val="DefaultParagraphFont"/>
    <w:link w:val="Univeristy"/>
    <w:rsid w:val="00C04939"/>
    <w:rPr>
      <w:rFonts w:ascii="Times New Roman" w:hAnsi="Times New Roman"/>
      <w:color w:val="000000" w:themeColor="text1"/>
      <w:sz w:val="24"/>
    </w:rPr>
  </w:style>
  <w:style w:type="character" w:customStyle="1" w:styleId="Heading1Char">
    <w:name w:val="Heading 1 Char"/>
    <w:basedOn w:val="DefaultParagraphFont"/>
    <w:link w:val="Heading1"/>
    <w:uiPriority w:val="9"/>
    <w:rsid w:val="00C0493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856B4"/>
    <w:rPr>
      <w:rFonts w:eastAsiaTheme="majorEastAsia" w:cstheme="majorBidi"/>
      <w:b/>
      <w:szCs w:val="26"/>
    </w:rPr>
  </w:style>
  <w:style w:type="character" w:customStyle="1" w:styleId="Heading3Char">
    <w:name w:val="Heading 3 Char"/>
    <w:basedOn w:val="DefaultParagraphFont"/>
    <w:link w:val="Heading3"/>
    <w:uiPriority w:val="9"/>
    <w:rsid w:val="00C04939"/>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C04939"/>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C04939"/>
    <w:rPr>
      <w:rFonts w:ascii="Times New Roman" w:eastAsiaTheme="majorEastAsia" w:hAnsi="Times New Roman" w:cstheme="majorBidi"/>
      <w:i/>
      <w:color w:val="000000" w:themeColor="text1"/>
      <w:sz w:val="24"/>
    </w:rPr>
  </w:style>
  <w:style w:type="character" w:customStyle="1" w:styleId="Heading6Char">
    <w:name w:val="Heading 6 Char"/>
    <w:basedOn w:val="DefaultParagraphFont"/>
    <w:link w:val="Heading6"/>
    <w:uiPriority w:val="9"/>
    <w:semiHidden/>
    <w:rsid w:val="00C0493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0493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049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4939"/>
    <w:rPr>
      <w:rFonts w:asciiTheme="majorHAnsi" w:eastAsiaTheme="majorEastAsia" w:hAnsiTheme="majorHAnsi" w:cstheme="majorBidi"/>
      <w:i/>
      <w:iCs/>
      <w:color w:val="272727" w:themeColor="text1" w:themeTint="D8"/>
      <w:sz w:val="21"/>
      <w:szCs w:val="21"/>
    </w:rPr>
  </w:style>
  <w:style w:type="paragraph" w:styleId="Caption">
    <w:name w:val="caption"/>
    <w:basedOn w:val="Univeristy"/>
    <w:next w:val="Univeristy"/>
    <w:autoRedefine/>
    <w:uiPriority w:val="35"/>
    <w:unhideWhenUsed/>
    <w:qFormat/>
    <w:rsid w:val="00F86CD1"/>
    <w:pPr>
      <w:keepNext/>
      <w:spacing w:after="200" w:line="360" w:lineRule="auto"/>
      <w:ind w:firstLine="0"/>
    </w:pPr>
    <w:rPr>
      <w:iCs/>
      <w:color w:val="auto"/>
      <w:szCs w:val="18"/>
    </w:rPr>
  </w:style>
  <w:style w:type="paragraph" w:styleId="Header">
    <w:name w:val="header"/>
    <w:basedOn w:val="Normal"/>
    <w:link w:val="HeaderChar"/>
    <w:uiPriority w:val="99"/>
    <w:unhideWhenUsed/>
    <w:rsid w:val="00C04939"/>
    <w:pPr>
      <w:tabs>
        <w:tab w:val="center" w:pos="4513"/>
        <w:tab w:val="right" w:pos="9026"/>
      </w:tabs>
      <w:ind w:firstLine="720"/>
    </w:pPr>
    <w:rPr>
      <w:rFonts w:asciiTheme="minorHAnsi" w:hAnsiTheme="minorHAnsi" w:cstheme="minorBidi"/>
    </w:rPr>
  </w:style>
  <w:style w:type="character" w:customStyle="1" w:styleId="HeaderChar">
    <w:name w:val="Header Char"/>
    <w:basedOn w:val="DefaultParagraphFont"/>
    <w:link w:val="Header"/>
    <w:uiPriority w:val="99"/>
    <w:rsid w:val="00C04939"/>
    <w:rPr>
      <w:sz w:val="24"/>
    </w:rPr>
  </w:style>
  <w:style w:type="paragraph" w:styleId="Footer">
    <w:name w:val="footer"/>
    <w:basedOn w:val="Normal"/>
    <w:link w:val="FooterChar"/>
    <w:uiPriority w:val="99"/>
    <w:unhideWhenUsed/>
    <w:rsid w:val="00C04939"/>
    <w:pPr>
      <w:tabs>
        <w:tab w:val="center" w:pos="4513"/>
        <w:tab w:val="right" w:pos="9026"/>
      </w:tabs>
      <w:ind w:firstLine="720"/>
    </w:pPr>
    <w:rPr>
      <w:rFonts w:asciiTheme="minorHAnsi" w:hAnsiTheme="minorHAnsi" w:cstheme="minorBidi"/>
    </w:rPr>
  </w:style>
  <w:style w:type="character" w:customStyle="1" w:styleId="FooterChar">
    <w:name w:val="Footer Char"/>
    <w:basedOn w:val="DefaultParagraphFont"/>
    <w:link w:val="Footer"/>
    <w:uiPriority w:val="99"/>
    <w:rsid w:val="00C04939"/>
    <w:rPr>
      <w:sz w:val="24"/>
    </w:rPr>
  </w:style>
  <w:style w:type="paragraph" w:styleId="CommentText">
    <w:name w:val="annotation text"/>
    <w:basedOn w:val="Normal"/>
    <w:link w:val="CommentTextChar"/>
    <w:uiPriority w:val="99"/>
    <w:unhideWhenUsed/>
    <w:rsid w:val="00C04939"/>
    <w:pPr>
      <w:spacing w:after="160"/>
      <w:ind w:firstLine="72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C04939"/>
    <w:rPr>
      <w:sz w:val="20"/>
      <w:szCs w:val="20"/>
    </w:rPr>
  </w:style>
  <w:style w:type="character" w:customStyle="1" w:styleId="CommentSubjectChar">
    <w:name w:val="Comment Subject Char"/>
    <w:basedOn w:val="CommentTextChar"/>
    <w:link w:val="CommentSubject"/>
    <w:uiPriority w:val="99"/>
    <w:semiHidden/>
    <w:rsid w:val="00C04939"/>
    <w:rPr>
      <w:b/>
      <w:bCs/>
      <w:sz w:val="20"/>
      <w:szCs w:val="20"/>
    </w:rPr>
  </w:style>
  <w:style w:type="paragraph" w:styleId="CommentSubject">
    <w:name w:val="annotation subject"/>
    <w:basedOn w:val="CommentText"/>
    <w:next w:val="CommentText"/>
    <w:link w:val="CommentSubjectChar"/>
    <w:uiPriority w:val="99"/>
    <w:semiHidden/>
    <w:unhideWhenUsed/>
    <w:rsid w:val="00C04939"/>
    <w:rPr>
      <w:b/>
      <w:bCs/>
    </w:rPr>
  </w:style>
  <w:style w:type="character" w:customStyle="1" w:styleId="BalloonTextChar">
    <w:name w:val="Balloon Text Char"/>
    <w:basedOn w:val="DefaultParagraphFont"/>
    <w:link w:val="BalloonText"/>
    <w:uiPriority w:val="99"/>
    <w:semiHidden/>
    <w:rsid w:val="00C04939"/>
    <w:rPr>
      <w:rFonts w:ascii="Segoe UI" w:hAnsi="Segoe UI" w:cs="Segoe UI"/>
      <w:sz w:val="18"/>
      <w:szCs w:val="18"/>
    </w:rPr>
  </w:style>
  <w:style w:type="paragraph" w:styleId="BalloonText">
    <w:name w:val="Balloon Text"/>
    <w:basedOn w:val="Normal"/>
    <w:link w:val="BalloonTextChar"/>
    <w:uiPriority w:val="99"/>
    <w:semiHidden/>
    <w:unhideWhenUsed/>
    <w:rsid w:val="00C04939"/>
    <w:pPr>
      <w:ind w:firstLine="720"/>
    </w:pPr>
    <w:rPr>
      <w:rFonts w:ascii="Segoe UI" w:hAnsi="Segoe UI" w:cs="Segoe UI"/>
      <w:sz w:val="18"/>
      <w:szCs w:val="18"/>
    </w:rPr>
  </w:style>
  <w:style w:type="paragraph" w:customStyle="1" w:styleId="EndNoteBibliographyTitle">
    <w:name w:val="EndNote Bibliography Title"/>
    <w:basedOn w:val="Normal"/>
    <w:link w:val="EndNoteBibliographyTitleChar"/>
    <w:rsid w:val="00C04939"/>
    <w:pPr>
      <w:spacing w:line="360" w:lineRule="auto"/>
      <w:ind w:firstLine="720"/>
      <w:jc w:val="center"/>
    </w:pPr>
    <w:rPr>
      <w:noProof/>
      <w:lang w:val="en-US"/>
    </w:rPr>
  </w:style>
  <w:style w:type="character" w:customStyle="1" w:styleId="EndNoteBibliographyTitleChar">
    <w:name w:val="EndNote Bibliography Title Char"/>
    <w:basedOn w:val="UniveristyChar"/>
    <w:link w:val="EndNoteBibliographyTitle"/>
    <w:rsid w:val="00C04939"/>
    <w:rPr>
      <w:rFonts w:ascii="Times New Roman" w:hAnsi="Times New Roman" w:cs="Times New Roman"/>
      <w:noProof/>
      <w:color w:val="000000" w:themeColor="text1"/>
      <w:sz w:val="24"/>
      <w:lang w:val="en-US"/>
    </w:rPr>
  </w:style>
  <w:style w:type="paragraph" w:customStyle="1" w:styleId="EndNoteBibliography">
    <w:name w:val="EndNote Bibliography"/>
    <w:basedOn w:val="Normal"/>
    <w:link w:val="EndNoteBibliographyChar"/>
    <w:rsid w:val="00C04939"/>
    <w:pPr>
      <w:spacing w:after="160"/>
      <w:ind w:firstLine="720"/>
    </w:pPr>
    <w:rPr>
      <w:noProof/>
      <w:lang w:val="en-US"/>
    </w:rPr>
  </w:style>
  <w:style w:type="character" w:customStyle="1" w:styleId="EndNoteBibliographyChar">
    <w:name w:val="EndNote Bibliography Char"/>
    <w:basedOn w:val="UniveristyChar"/>
    <w:link w:val="EndNoteBibliography"/>
    <w:rsid w:val="00C04939"/>
    <w:rPr>
      <w:rFonts w:ascii="Times New Roman" w:hAnsi="Times New Roman" w:cs="Times New Roman"/>
      <w:noProof/>
      <w:color w:val="000000" w:themeColor="text1"/>
      <w:sz w:val="24"/>
      <w:lang w:val="en-US"/>
    </w:rPr>
  </w:style>
  <w:style w:type="character" w:styleId="Hyperlink">
    <w:name w:val="Hyperlink"/>
    <w:basedOn w:val="DefaultParagraphFont"/>
    <w:uiPriority w:val="99"/>
    <w:unhideWhenUsed/>
    <w:rsid w:val="00C04939"/>
    <w:rPr>
      <w:color w:val="0563C1" w:themeColor="hyperlink"/>
      <w:u w:val="single"/>
    </w:rPr>
  </w:style>
  <w:style w:type="paragraph" w:styleId="Revision">
    <w:name w:val="Revision"/>
    <w:hidden/>
    <w:uiPriority w:val="99"/>
    <w:semiHidden/>
    <w:rsid w:val="00C04939"/>
    <w:pPr>
      <w:spacing w:after="0" w:line="240" w:lineRule="auto"/>
      <w:ind w:firstLine="0"/>
    </w:pPr>
  </w:style>
  <w:style w:type="table" w:styleId="TableGrid">
    <w:name w:val="Table Grid"/>
    <w:basedOn w:val="TableNormal"/>
    <w:uiPriority w:val="39"/>
    <w:rsid w:val="00C0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04939"/>
    <w:pPr>
      <w:outlineLvl w:val="9"/>
    </w:pPr>
    <w:rPr>
      <w:lang w:val="en-US"/>
    </w:rPr>
  </w:style>
  <w:style w:type="paragraph" w:customStyle="1" w:styleId="Contentsheading">
    <w:name w:val="Contents heading"/>
    <w:basedOn w:val="Univeristy"/>
    <w:link w:val="ContentsheadingChar"/>
    <w:qFormat/>
    <w:rsid w:val="00C04939"/>
    <w:pPr>
      <w:spacing w:line="360" w:lineRule="auto"/>
      <w:ind w:firstLine="0"/>
      <w:jc w:val="center"/>
    </w:pPr>
    <w:rPr>
      <w:b/>
    </w:rPr>
  </w:style>
  <w:style w:type="character" w:customStyle="1" w:styleId="ContentsheadingChar">
    <w:name w:val="Contents heading Char"/>
    <w:basedOn w:val="UniveristyChar"/>
    <w:link w:val="Contentsheading"/>
    <w:rsid w:val="00C04939"/>
    <w:rPr>
      <w:rFonts w:ascii="Times New Roman" w:hAnsi="Times New Roman"/>
      <w:b/>
      <w:color w:val="000000" w:themeColor="text1"/>
      <w:sz w:val="24"/>
    </w:rPr>
  </w:style>
  <w:style w:type="paragraph" w:styleId="TOC1">
    <w:name w:val="toc 1"/>
    <w:aliases w:val="Appendix"/>
    <w:basedOn w:val="Heading2"/>
    <w:next w:val="Univeristy"/>
    <w:autoRedefine/>
    <w:uiPriority w:val="39"/>
    <w:unhideWhenUsed/>
    <w:qFormat/>
    <w:rsid w:val="00C04939"/>
    <w:pPr>
      <w:tabs>
        <w:tab w:val="right" w:leader="dot" w:pos="9016"/>
      </w:tabs>
      <w:spacing w:after="100"/>
    </w:pPr>
  </w:style>
  <w:style w:type="paragraph" w:styleId="TOC2">
    <w:name w:val="toc 2"/>
    <w:basedOn w:val="Univeristy"/>
    <w:next w:val="Univeristy"/>
    <w:autoRedefine/>
    <w:uiPriority w:val="39"/>
    <w:unhideWhenUsed/>
    <w:rsid w:val="00C04939"/>
    <w:pPr>
      <w:tabs>
        <w:tab w:val="right" w:leader="dot" w:pos="9016"/>
      </w:tabs>
      <w:spacing w:after="100" w:line="360" w:lineRule="auto"/>
      <w:ind w:left="240"/>
    </w:pPr>
  </w:style>
  <w:style w:type="paragraph" w:styleId="TOC3">
    <w:name w:val="toc 3"/>
    <w:basedOn w:val="Univeristy"/>
    <w:next w:val="Univeristy"/>
    <w:autoRedefine/>
    <w:uiPriority w:val="39"/>
    <w:unhideWhenUsed/>
    <w:rsid w:val="00C04939"/>
    <w:pPr>
      <w:spacing w:after="100" w:line="360" w:lineRule="auto"/>
      <w:ind w:left="480"/>
    </w:pPr>
  </w:style>
  <w:style w:type="character" w:customStyle="1" w:styleId="UnresolvedMention1">
    <w:name w:val="Unresolved Mention1"/>
    <w:basedOn w:val="DefaultParagraphFont"/>
    <w:uiPriority w:val="99"/>
    <w:unhideWhenUsed/>
    <w:rsid w:val="00C04939"/>
    <w:rPr>
      <w:color w:val="605E5C"/>
      <w:shd w:val="clear" w:color="auto" w:fill="E1DFDD"/>
    </w:rPr>
  </w:style>
  <w:style w:type="paragraph" w:styleId="FootnoteText">
    <w:name w:val="footnote text"/>
    <w:basedOn w:val="Normal"/>
    <w:link w:val="FootnoteTextChar"/>
    <w:uiPriority w:val="99"/>
    <w:unhideWhenUsed/>
    <w:rsid w:val="00C04939"/>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C04939"/>
    <w:rPr>
      <w:sz w:val="20"/>
      <w:szCs w:val="20"/>
    </w:rPr>
  </w:style>
  <w:style w:type="character" w:styleId="FootnoteReference">
    <w:name w:val="footnote reference"/>
    <w:basedOn w:val="DefaultParagraphFont"/>
    <w:uiPriority w:val="99"/>
    <w:unhideWhenUsed/>
    <w:rsid w:val="00C04939"/>
    <w:rPr>
      <w:vertAlign w:val="superscript"/>
    </w:rPr>
  </w:style>
  <w:style w:type="character" w:customStyle="1" w:styleId="HTMLPreformattedChar">
    <w:name w:val="HTML Preformatted Char"/>
    <w:basedOn w:val="DefaultParagraphFont"/>
    <w:link w:val="HTMLPreformatted"/>
    <w:uiPriority w:val="99"/>
    <w:semiHidden/>
    <w:rsid w:val="00C04939"/>
    <w:rPr>
      <w:rFonts w:ascii="Courier New" w:eastAsia="Times New Roman" w:hAnsi="Courier New" w:cs="Courier New"/>
      <w:sz w:val="20"/>
      <w:szCs w:val="20"/>
      <w:lang w:val="en-NZ" w:eastAsia="en-NZ"/>
    </w:rPr>
  </w:style>
  <w:style w:type="paragraph" w:styleId="HTMLPreformatted">
    <w:name w:val="HTML Preformatted"/>
    <w:basedOn w:val="Normal"/>
    <w:link w:val="HTMLPreformattedChar"/>
    <w:uiPriority w:val="99"/>
    <w:semiHidden/>
    <w:unhideWhenUsed/>
    <w:rsid w:val="00C049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NZ"/>
    </w:rPr>
  </w:style>
  <w:style w:type="character" w:customStyle="1" w:styleId="gnkrckgcgsb">
    <w:name w:val="gnkrckgcgsb"/>
    <w:basedOn w:val="DefaultParagraphFont"/>
    <w:rsid w:val="00C04939"/>
  </w:style>
  <w:style w:type="character" w:customStyle="1" w:styleId="apple-converted-space">
    <w:name w:val="apple-converted-space"/>
    <w:basedOn w:val="DefaultParagraphFont"/>
    <w:rsid w:val="00C04939"/>
  </w:style>
  <w:style w:type="character" w:customStyle="1" w:styleId="UnresolvedMention2">
    <w:name w:val="Unresolved Mention2"/>
    <w:basedOn w:val="DefaultParagraphFont"/>
    <w:uiPriority w:val="99"/>
    <w:unhideWhenUsed/>
    <w:rsid w:val="00C04939"/>
    <w:rPr>
      <w:color w:val="605E5C"/>
      <w:shd w:val="clear" w:color="auto" w:fill="E1DFDD"/>
    </w:rPr>
  </w:style>
  <w:style w:type="character" w:customStyle="1" w:styleId="UnresolvedMention3">
    <w:name w:val="Unresolved Mention3"/>
    <w:basedOn w:val="DefaultParagraphFont"/>
    <w:uiPriority w:val="99"/>
    <w:rsid w:val="00C04939"/>
    <w:rPr>
      <w:color w:val="605E5C"/>
      <w:shd w:val="clear" w:color="auto" w:fill="E1DFDD"/>
    </w:rPr>
  </w:style>
  <w:style w:type="character" w:customStyle="1" w:styleId="UnresolvedMention4">
    <w:name w:val="Unresolved Mention4"/>
    <w:basedOn w:val="DefaultParagraphFont"/>
    <w:uiPriority w:val="99"/>
    <w:rsid w:val="00C04939"/>
    <w:rPr>
      <w:color w:val="605E5C"/>
      <w:shd w:val="clear" w:color="auto" w:fill="E1DFDD"/>
    </w:rPr>
  </w:style>
  <w:style w:type="paragraph" w:styleId="TableofFigures">
    <w:name w:val="table of figures"/>
    <w:basedOn w:val="Normal"/>
    <w:next w:val="Univeristy"/>
    <w:link w:val="TableofFiguresChar"/>
    <w:autoRedefine/>
    <w:uiPriority w:val="99"/>
    <w:unhideWhenUsed/>
    <w:rsid w:val="00C04939"/>
    <w:pPr>
      <w:tabs>
        <w:tab w:val="right" w:leader="dot" w:pos="9016"/>
      </w:tabs>
      <w:spacing w:line="480" w:lineRule="auto"/>
    </w:pPr>
    <w:rPr>
      <w:rFonts w:cstheme="minorBidi"/>
    </w:rPr>
  </w:style>
  <w:style w:type="character" w:customStyle="1" w:styleId="TableofFiguresChar">
    <w:name w:val="Table of Figures Char"/>
    <w:basedOn w:val="DefaultParagraphFont"/>
    <w:link w:val="TableofFigures"/>
    <w:uiPriority w:val="99"/>
    <w:rsid w:val="00C04939"/>
    <w:rPr>
      <w:rFonts w:ascii="Times New Roman" w:hAnsi="Times New Roman"/>
      <w:sz w:val="24"/>
    </w:rPr>
  </w:style>
  <w:style w:type="paragraph" w:customStyle="1" w:styleId="H5">
    <w:name w:val="H 5"/>
    <w:basedOn w:val="Univeristy"/>
    <w:link w:val="H5Char"/>
    <w:autoRedefine/>
    <w:qFormat/>
    <w:rsid w:val="00C04939"/>
    <w:pPr>
      <w:spacing w:line="360" w:lineRule="auto"/>
    </w:pPr>
    <w:rPr>
      <w:i/>
      <w:lang w:val="en-AU"/>
    </w:rPr>
  </w:style>
  <w:style w:type="character" w:customStyle="1" w:styleId="H5Char">
    <w:name w:val="H 5 Char"/>
    <w:basedOn w:val="UniveristyChar"/>
    <w:link w:val="H5"/>
    <w:rsid w:val="00C04939"/>
    <w:rPr>
      <w:rFonts w:ascii="Times New Roman" w:hAnsi="Times New Roman"/>
      <w:i/>
      <w:color w:val="000000" w:themeColor="text1"/>
      <w:sz w:val="24"/>
      <w:lang w:val="en-AU"/>
    </w:rPr>
  </w:style>
  <w:style w:type="character" w:customStyle="1" w:styleId="UnresolvedMention5">
    <w:name w:val="Unresolved Mention5"/>
    <w:basedOn w:val="DefaultParagraphFont"/>
    <w:uiPriority w:val="99"/>
    <w:rsid w:val="00C04939"/>
    <w:rPr>
      <w:color w:val="605E5C"/>
      <w:shd w:val="clear" w:color="auto" w:fill="E1DFDD"/>
    </w:rPr>
  </w:style>
  <w:style w:type="character" w:customStyle="1" w:styleId="UnresolvedMention6">
    <w:name w:val="Unresolved Mention6"/>
    <w:basedOn w:val="DefaultParagraphFont"/>
    <w:uiPriority w:val="99"/>
    <w:rsid w:val="00C04939"/>
    <w:rPr>
      <w:color w:val="605E5C"/>
      <w:shd w:val="clear" w:color="auto" w:fill="E1DFDD"/>
    </w:rPr>
  </w:style>
  <w:style w:type="paragraph" w:styleId="ListParagraph">
    <w:name w:val="List Paragraph"/>
    <w:basedOn w:val="Normal"/>
    <w:uiPriority w:val="34"/>
    <w:qFormat/>
    <w:rsid w:val="00C04939"/>
    <w:pPr>
      <w:spacing w:after="160" w:line="360" w:lineRule="auto"/>
      <w:ind w:left="720" w:firstLine="720"/>
      <w:contextualSpacing/>
    </w:pPr>
    <w:rPr>
      <w:rFonts w:asciiTheme="minorHAnsi" w:hAnsiTheme="minorHAnsi" w:cstheme="minorBidi"/>
    </w:rPr>
  </w:style>
  <w:style w:type="character" w:customStyle="1" w:styleId="UnresolvedMention7">
    <w:name w:val="Unresolved Mention7"/>
    <w:basedOn w:val="DefaultParagraphFont"/>
    <w:uiPriority w:val="99"/>
    <w:rsid w:val="00C04939"/>
    <w:rPr>
      <w:color w:val="605E5C"/>
      <w:shd w:val="clear" w:color="auto" w:fill="E1DFDD"/>
    </w:rPr>
  </w:style>
  <w:style w:type="character" w:customStyle="1" w:styleId="UnresolvedMention8">
    <w:name w:val="Unresolved Mention8"/>
    <w:basedOn w:val="DefaultParagraphFont"/>
    <w:uiPriority w:val="99"/>
    <w:rsid w:val="00C04939"/>
    <w:rPr>
      <w:color w:val="605E5C"/>
      <w:shd w:val="clear" w:color="auto" w:fill="E1DFDD"/>
    </w:rPr>
  </w:style>
  <w:style w:type="character" w:customStyle="1" w:styleId="UnresolvedMention9">
    <w:name w:val="Unresolved Mention9"/>
    <w:basedOn w:val="DefaultParagraphFont"/>
    <w:uiPriority w:val="99"/>
    <w:rsid w:val="00C04939"/>
    <w:rPr>
      <w:color w:val="605E5C"/>
      <w:shd w:val="clear" w:color="auto" w:fill="E1DFDD"/>
    </w:rPr>
  </w:style>
  <w:style w:type="character" w:customStyle="1" w:styleId="UnresolvedMention10">
    <w:name w:val="Unresolved Mention10"/>
    <w:basedOn w:val="DefaultParagraphFont"/>
    <w:uiPriority w:val="99"/>
    <w:rsid w:val="00C04939"/>
    <w:rPr>
      <w:color w:val="605E5C"/>
      <w:shd w:val="clear" w:color="auto" w:fill="E1DFDD"/>
    </w:rPr>
  </w:style>
  <w:style w:type="character" w:customStyle="1" w:styleId="UnresolvedMention12">
    <w:name w:val="Unresolved Mention12"/>
    <w:basedOn w:val="DefaultParagraphFont"/>
    <w:uiPriority w:val="99"/>
    <w:rsid w:val="00C04939"/>
    <w:rPr>
      <w:color w:val="605E5C"/>
      <w:shd w:val="clear" w:color="auto" w:fill="E1DFDD"/>
    </w:rPr>
  </w:style>
  <w:style w:type="character" w:customStyle="1" w:styleId="UnresolvedMention13">
    <w:name w:val="Unresolved Mention13"/>
    <w:basedOn w:val="DefaultParagraphFont"/>
    <w:uiPriority w:val="99"/>
    <w:rsid w:val="00C04939"/>
    <w:rPr>
      <w:color w:val="605E5C"/>
      <w:shd w:val="clear" w:color="auto" w:fill="E1DFDD"/>
    </w:rPr>
  </w:style>
  <w:style w:type="character" w:customStyle="1" w:styleId="UnresolvedMention14">
    <w:name w:val="Unresolved Mention14"/>
    <w:basedOn w:val="DefaultParagraphFont"/>
    <w:uiPriority w:val="99"/>
    <w:rsid w:val="00C04939"/>
    <w:rPr>
      <w:color w:val="605E5C"/>
      <w:shd w:val="clear" w:color="auto" w:fill="E1DFDD"/>
    </w:rPr>
  </w:style>
  <w:style w:type="character" w:customStyle="1" w:styleId="UnresolvedMention15">
    <w:name w:val="Unresolved Mention15"/>
    <w:basedOn w:val="DefaultParagraphFont"/>
    <w:uiPriority w:val="99"/>
    <w:rsid w:val="00C04939"/>
    <w:rPr>
      <w:color w:val="605E5C"/>
      <w:shd w:val="clear" w:color="auto" w:fill="E1DFDD"/>
    </w:rPr>
  </w:style>
  <w:style w:type="character" w:customStyle="1" w:styleId="UnresolvedMention16">
    <w:name w:val="Unresolved Mention16"/>
    <w:basedOn w:val="DefaultParagraphFont"/>
    <w:uiPriority w:val="99"/>
    <w:rsid w:val="00C04939"/>
    <w:rPr>
      <w:color w:val="605E5C"/>
      <w:shd w:val="clear" w:color="auto" w:fill="E1DFDD"/>
    </w:rPr>
  </w:style>
  <w:style w:type="character" w:customStyle="1" w:styleId="UnresolvedMention17">
    <w:name w:val="Unresolved Mention17"/>
    <w:basedOn w:val="DefaultParagraphFont"/>
    <w:uiPriority w:val="99"/>
    <w:rsid w:val="00C04939"/>
    <w:rPr>
      <w:color w:val="605E5C"/>
      <w:shd w:val="clear" w:color="auto" w:fill="E1DFDD"/>
    </w:rPr>
  </w:style>
  <w:style w:type="character" w:styleId="UnresolvedMention">
    <w:name w:val="Unresolved Mention"/>
    <w:basedOn w:val="DefaultParagraphFont"/>
    <w:uiPriority w:val="99"/>
    <w:rsid w:val="00C04939"/>
    <w:rPr>
      <w:color w:val="605E5C"/>
      <w:shd w:val="clear" w:color="auto" w:fill="E1DFDD"/>
    </w:rPr>
  </w:style>
  <w:style w:type="paragraph" w:styleId="TOC4">
    <w:name w:val="toc 4"/>
    <w:basedOn w:val="Normal"/>
    <w:next w:val="Normal"/>
    <w:autoRedefine/>
    <w:uiPriority w:val="39"/>
    <w:unhideWhenUsed/>
    <w:rsid w:val="00C04939"/>
    <w:pPr>
      <w:spacing w:after="100" w:line="259" w:lineRule="auto"/>
      <w:ind w:left="660"/>
    </w:pPr>
    <w:rPr>
      <w:rFonts w:asciiTheme="minorHAnsi" w:eastAsiaTheme="minorEastAsia" w:hAnsiTheme="minorHAnsi" w:cstheme="minorBidi"/>
      <w:sz w:val="22"/>
      <w:lang w:eastAsia="en-NZ"/>
    </w:rPr>
  </w:style>
  <w:style w:type="paragraph" w:styleId="TOC5">
    <w:name w:val="toc 5"/>
    <w:basedOn w:val="Normal"/>
    <w:next w:val="Normal"/>
    <w:autoRedefine/>
    <w:uiPriority w:val="39"/>
    <w:unhideWhenUsed/>
    <w:rsid w:val="00C04939"/>
    <w:pPr>
      <w:spacing w:after="100" w:line="259" w:lineRule="auto"/>
      <w:ind w:left="880"/>
    </w:pPr>
    <w:rPr>
      <w:rFonts w:asciiTheme="minorHAnsi" w:eastAsiaTheme="minorEastAsia" w:hAnsiTheme="minorHAnsi" w:cstheme="minorBidi"/>
      <w:sz w:val="22"/>
      <w:lang w:eastAsia="en-NZ"/>
    </w:rPr>
  </w:style>
  <w:style w:type="paragraph" w:styleId="TOC6">
    <w:name w:val="toc 6"/>
    <w:basedOn w:val="Normal"/>
    <w:next w:val="Normal"/>
    <w:autoRedefine/>
    <w:uiPriority w:val="39"/>
    <w:unhideWhenUsed/>
    <w:rsid w:val="00C04939"/>
    <w:pPr>
      <w:spacing w:after="100" w:line="259" w:lineRule="auto"/>
      <w:ind w:left="1100"/>
    </w:pPr>
    <w:rPr>
      <w:rFonts w:asciiTheme="minorHAnsi" w:eastAsiaTheme="minorEastAsia" w:hAnsiTheme="minorHAnsi" w:cstheme="minorBidi"/>
      <w:sz w:val="22"/>
      <w:lang w:eastAsia="en-NZ"/>
    </w:rPr>
  </w:style>
  <w:style w:type="paragraph" w:styleId="TOC7">
    <w:name w:val="toc 7"/>
    <w:basedOn w:val="Normal"/>
    <w:next w:val="Normal"/>
    <w:autoRedefine/>
    <w:uiPriority w:val="39"/>
    <w:unhideWhenUsed/>
    <w:rsid w:val="00C04939"/>
    <w:pPr>
      <w:spacing w:after="100" w:line="259" w:lineRule="auto"/>
      <w:ind w:left="1320"/>
    </w:pPr>
    <w:rPr>
      <w:rFonts w:asciiTheme="minorHAnsi" w:eastAsiaTheme="minorEastAsia" w:hAnsiTheme="minorHAnsi" w:cstheme="minorBidi"/>
      <w:sz w:val="22"/>
      <w:lang w:eastAsia="en-NZ"/>
    </w:rPr>
  </w:style>
  <w:style w:type="paragraph" w:styleId="TOC8">
    <w:name w:val="toc 8"/>
    <w:basedOn w:val="Normal"/>
    <w:next w:val="Normal"/>
    <w:autoRedefine/>
    <w:uiPriority w:val="39"/>
    <w:unhideWhenUsed/>
    <w:rsid w:val="00C04939"/>
    <w:pPr>
      <w:spacing w:after="100" w:line="259" w:lineRule="auto"/>
      <w:ind w:left="1540"/>
    </w:pPr>
    <w:rPr>
      <w:rFonts w:asciiTheme="minorHAnsi" w:eastAsiaTheme="minorEastAsia" w:hAnsiTheme="minorHAnsi" w:cstheme="minorBidi"/>
      <w:sz w:val="22"/>
      <w:lang w:eastAsia="en-NZ"/>
    </w:rPr>
  </w:style>
  <w:style w:type="paragraph" w:styleId="TOC9">
    <w:name w:val="toc 9"/>
    <w:basedOn w:val="Normal"/>
    <w:next w:val="Normal"/>
    <w:autoRedefine/>
    <w:uiPriority w:val="39"/>
    <w:unhideWhenUsed/>
    <w:rsid w:val="00C04939"/>
    <w:pPr>
      <w:spacing w:after="100" w:line="259" w:lineRule="auto"/>
      <w:ind w:left="1760"/>
    </w:pPr>
    <w:rPr>
      <w:rFonts w:asciiTheme="minorHAnsi" w:eastAsiaTheme="minorEastAsia" w:hAnsiTheme="minorHAnsi" w:cstheme="minorBidi"/>
      <w:sz w:val="22"/>
      <w:lang w:eastAsia="en-NZ"/>
    </w:rPr>
  </w:style>
  <w:style w:type="paragraph" w:styleId="Index1">
    <w:name w:val="index 1"/>
    <w:basedOn w:val="Normal"/>
    <w:next w:val="Normal"/>
    <w:autoRedefine/>
    <w:uiPriority w:val="99"/>
    <w:semiHidden/>
    <w:unhideWhenUsed/>
    <w:rsid w:val="00C04939"/>
    <w:pPr>
      <w:ind w:left="240" w:hanging="240"/>
    </w:pPr>
    <w:rPr>
      <w:rFonts w:asciiTheme="minorHAnsi" w:hAnsiTheme="minorHAnsi" w:cstheme="minorBidi"/>
    </w:rPr>
  </w:style>
  <w:style w:type="character" w:styleId="PageNumber">
    <w:name w:val="page number"/>
    <w:basedOn w:val="DefaultParagraphFont"/>
    <w:uiPriority w:val="99"/>
    <w:semiHidden/>
    <w:unhideWhenUsed/>
    <w:rsid w:val="00005E6E"/>
  </w:style>
  <w:style w:type="character" w:styleId="CommentReference">
    <w:name w:val="annotation reference"/>
    <w:basedOn w:val="DefaultParagraphFont"/>
    <w:uiPriority w:val="99"/>
    <w:semiHidden/>
    <w:unhideWhenUsed/>
    <w:rsid w:val="00EE0AE4"/>
    <w:rPr>
      <w:sz w:val="16"/>
      <w:szCs w:val="16"/>
    </w:rPr>
  </w:style>
  <w:style w:type="paragraph" w:styleId="NormalWeb">
    <w:name w:val="Normal (Web)"/>
    <w:basedOn w:val="Normal"/>
    <w:uiPriority w:val="99"/>
    <w:unhideWhenUsed/>
    <w:rsid w:val="00CF5FD1"/>
    <w:pPr>
      <w:spacing w:before="100" w:beforeAutospacing="1" w:after="100" w:afterAutospacing="1"/>
    </w:pPr>
  </w:style>
  <w:style w:type="paragraph" w:styleId="EndnoteText">
    <w:name w:val="endnote text"/>
    <w:basedOn w:val="Normal"/>
    <w:link w:val="EndnoteTextChar"/>
    <w:uiPriority w:val="99"/>
    <w:unhideWhenUsed/>
    <w:rsid w:val="00707363"/>
    <w:rPr>
      <w:sz w:val="20"/>
      <w:szCs w:val="20"/>
    </w:rPr>
  </w:style>
  <w:style w:type="character" w:customStyle="1" w:styleId="EndnoteTextChar">
    <w:name w:val="Endnote Text Char"/>
    <w:basedOn w:val="DefaultParagraphFont"/>
    <w:link w:val="EndnoteText"/>
    <w:uiPriority w:val="99"/>
    <w:rsid w:val="00707363"/>
    <w:rPr>
      <w:rFonts w:ascii="Times New Roman" w:eastAsia="Times New Roman" w:hAnsi="Times New Roman" w:cs="Times New Roman"/>
      <w:sz w:val="20"/>
      <w:szCs w:val="20"/>
      <w:lang w:val="en-NZ" w:eastAsia="en-GB"/>
    </w:rPr>
  </w:style>
  <w:style w:type="character" w:styleId="EndnoteReference">
    <w:name w:val="endnote reference"/>
    <w:basedOn w:val="DefaultParagraphFont"/>
    <w:uiPriority w:val="99"/>
    <w:unhideWhenUsed/>
    <w:rsid w:val="00707363"/>
    <w:rPr>
      <w:vertAlign w:val="superscript"/>
    </w:rPr>
  </w:style>
  <w:style w:type="character" w:customStyle="1" w:styleId="highlight">
    <w:name w:val="highlight"/>
    <w:basedOn w:val="DefaultParagraphFont"/>
    <w:rsid w:val="00BD6FD0"/>
  </w:style>
  <w:style w:type="paragraph" w:customStyle="1" w:styleId="p">
    <w:name w:val="p"/>
    <w:basedOn w:val="Normal"/>
    <w:rsid w:val="00240C5F"/>
    <w:pPr>
      <w:spacing w:before="100" w:beforeAutospacing="1" w:after="100" w:afterAutospacing="1"/>
    </w:pPr>
  </w:style>
  <w:style w:type="character" w:styleId="Strong">
    <w:name w:val="Strong"/>
    <w:basedOn w:val="DefaultParagraphFont"/>
    <w:uiPriority w:val="22"/>
    <w:qFormat/>
    <w:rsid w:val="005D5AFF"/>
    <w:rPr>
      <w:b/>
      <w:bCs/>
    </w:rPr>
  </w:style>
  <w:style w:type="character" w:customStyle="1" w:styleId="element-citation">
    <w:name w:val="element-citation"/>
    <w:basedOn w:val="DefaultParagraphFont"/>
    <w:rsid w:val="006E7BDD"/>
  </w:style>
  <w:style w:type="character" w:customStyle="1" w:styleId="ref-journal">
    <w:name w:val="ref-journal"/>
    <w:basedOn w:val="DefaultParagraphFont"/>
    <w:rsid w:val="006E7BDD"/>
  </w:style>
  <w:style w:type="character" w:customStyle="1" w:styleId="ref-vol">
    <w:name w:val="ref-vol"/>
    <w:basedOn w:val="DefaultParagraphFont"/>
    <w:rsid w:val="006E7BDD"/>
  </w:style>
  <w:style w:type="character" w:customStyle="1" w:styleId="gsct1">
    <w:name w:val="gs_ct1"/>
    <w:basedOn w:val="DefaultParagraphFont"/>
    <w:rsid w:val="00627300"/>
  </w:style>
  <w:style w:type="character" w:customStyle="1" w:styleId="ref-lnk">
    <w:name w:val="ref-lnk"/>
    <w:basedOn w:val="DefaultParagraphFont"/>
    <w:rsid w:val="00877D0B"/>
  </w:style>
  <w:style w:type="character" w:customStyle="1" w:styleId="st">
    <w:name w:val="st"/>
    <w:basedOn w:val="DefaultParagraphFont"/>
    <w:rsid w:val="00E016A3"/>
  </w:style>
  <w:style w:type="character" w:styleId="Emphasis">
    <w:name w:val="Emphasis"/>
    <w:basedOn w:val="DefaultParagraphFont"/>
    <w:uiPriority w:val="20"/>
    <w:qFormat/>
    <w:rsid w:val="00386FC5"/>
    <w:rPr>
      <w:i/>
      <w:iCs/>
    </w:rPr>
  </w:style>
  <w:style w:type="paragraph" w:customStyle="1" w:styleId="PhDFigureCaption">
    <w:name w:val="PhD_FigureCaption"/>
    <w:basedOn w:val="Caption"/>
    <w:qFormat/>
    <w:rsid w:val="00386FC5"/>
    <w:pPr>
      <w:keepNext w:val="0"/>
      <w:spacing w:after="0" w:line="480" w:lineRule="auto"/>
    </w:pPr>
    <w:rPr>
      <w:rFonts w:eastAsia="Times New Roman" w:cs="Times New Roman"/>
      <w:bCs/>
      <w:iCs w:val="0"/>
      <w:lang w:val="en-NZ" w:eastAsia="en-GB"/>
    </w:rPr>
  </w:style>
  <w:style w:type="paragraph" w:customStyle="1" w:styleId="titleforselfpubs">
    <w:name w:val="title for self pubs"/>
    <w:basedOn w:val="Normal"/>
    <w:next w:val="Heading1"/>
    <w:qFormat/>
    <w:rsid w:val="00386FC5"/>
    <w:pPr>
      <w:spacing w:after="120" w:line="280" w:lineRule="exact"/>
      <w:jc w:val="both"/>
    </w:pPr>
    <w:rPr>
      <w:rFonts w:ascii="Abadi MT Condensed Light" w:eastAsiaTheme="minorHAnsi" w:hAnsi="Abadi MT Condensed Light"/>
      <w:b/>
      <w:bCs/>
      <w:lang w:val="en-GB"/>
    </w:rPr>
  </w:style>
  <w:style w:type="character" w:customStyle="1" w:styleId="balloon">
    <w:name w:val="balloon"/>
    <w:basedOn w:val="DefaultParagraphFont"/>
    <w:rsid w:val="00386FC5"/>
  </w:style>
  <w:style w:type="character" w:customStyle="1" w:styleId="nlmstring-name">
    <w:name w:val="nlm_string-name"/>
    <w:basedOn w:val="DefaultParagraphFont"/>
    <w:rsid w:val="00386FC5"/>
  </w:style>
  <w:style w:type="character" w:customStyle="1" w:styleId="nlmgiven-names">
    <w:name w:val="nlm_given-names"/>
    <w:basedOn w:val="DefaultParagraphFont"/>
    <w:rsid w:val="00386FC5"/>
  </w:style>
  <w:style w:type="character" w:customStyle="1" w:styleId="nlmyear">
    <w:name w:val="nlm_year"/>
    <w:basedOn w:val="DefaultParagraphFont"/>
    <w:rsid w:val="00386FC5"/>
  </w:style>
  <w:style w:type="character" w:customStyle="1" w:styleId="nlmarticle-title">
    <w:name w:val="nlm_article-title"/>
    <w:basedOn w:val="DefaultParagraphFont"/>
    <w:rsid w:val="00386FC5"/>
  </w:style>
  <w:style w:type="character" w:customStyle="1" w:styleId="nlmfpage">
    <w:name w:val="nlm_fpage"/>
    <w:basedOn w:val="DefaultParagraphFont"/>
    <w:rsid w:val="00386FC5"/>
  </w:style>
  <w:style w:type="character" w:customStyle="1" w:styleId="nlmlpage">
    <w:name w:val="nlm_lpage"/>
    <w:basedOn w:val="DefaultParagraphFont"/>
    <w:rsid w:val="00386FC5"/>
  </w:style>
  <w:style w:type="character" w:customStyle="1" w:styleId="enumerator">
    <w:name w:val="enumerator"/>
    <w:basedOn w:val="DefaultParagraphFont"/>
    <w:rsid w:val="00386FC5"/>
  </w:style>
  <w:style w:type="character" w:customStyle="1" w:styleId="ref-overlay">
    <w:name w:val="ref-overlay"/>
    <w:basedOn w:val="DefaultParagraphFont"/>
    <w:rsid w:val="0080485A"/>
  </w:style>
  <w:style w:type="character" w:customStyle="1" w:styleId="hlfld-contribauthor">
    <w:name w:val="hlfld-contribauthor"/>
    <w:basedOn w:val="DefaultParagraphFont"/>
    <w:rsid w:val="0080485A"/>
  </w:style>
  <w:style w:type="character" w:customStyle="1" w:styleId="nlmpub-id">
    <w:name w:val="nlm_pub-id"/>
    <w:basedOn w:val="DefaultParagraphFont"/>
    <w:rsid w:val="0080485A"/>
  </w:style>
  <w:style w:type="character" w:customStyle="1" w:styleId="reflink-block">
    <w:name w:val="reflink-block"/>
    <w:basedOn w:val="DefaultParagraphFont"/>
    <w:rsid w:val="0080485A"/>
  </w:style>
  <w:style w:type="character" w:customStyle="1" w:styleId="xlinks-container">
    <w:name w:val="xlinks-container"/>
    <w:basedOn w:val="DefaultParagraphFont"/>
    <w:rsid w:val="0080485A"/>
  </w:style>
  <w:style w:type="character" w:customStyle="1" w:styleId="googlescholar-container">
    <w:name w:val="googlescholar-container"/>
    <w:basedOn w:val="DefaultParagraphFont"/>
    <w:rsid w:val="0080485A"/>
  </w:style>
  <w:style w:type="character" w:styleId="FollowedHyperlink">
    <w:name w:val="FollowedHyperlink"/>
    <w:basedOn w:val="DefaultParagraphFont"/>
    <w:uiPriority w:val="99"/>
    <w:semiHidden/>
    <w:unhideWhenUsed/>
    <w:rsid w:val="00824F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979">
      <w:bodyDiv w:val="1"/>
      <w:marLeft w:val="0"/>
      <w:marRight w:val="0"/>
      <w:marTop w:val="0"/>
      <w:marBottom w:val="0"/>
      <w:divBdr>
        <w:top w:val="none" w:sz="0" w:space="0" w:color="auto"/>
        <w:left w:val="none" w:sz="0" w:space="0" w:color="auto"/>
        <w:bottom w:val="none" w:sz="0" w:space="0" w:color="auto"/>
        <w:right w:val="none" w:sz="0" w:space="0" w:color="auto"/>
      </w:divBdr>
    </w:div>
    <w:div w:id="16661298">
      <w:bodyDiv w:val="1"/>
      <w:marLeft w:val="0"/>
      <w:marRight w:val="0"/>
      <w:marTop w:val="0"/>
      <w:marBottom w:val="0"/>
      <w:divBdr>
        <w:top w:val="none" w:sz="0" w:space="0" w:color="auto"/>
        <w:left w:val="none" w:sz="0" w:space="0" w:color="auto"/>
        <w:bottom w:val="none" w:sz="0" w:space="0" w:color="auto"/>
        <w:right w:val="none" w:sz="0" w:space="0" w:color="auto"/>
      </w:divBdr>
    </w:div>
    <w:div w:id="35784992">
      <w:bodyDiv w:val="1"/>
      <w:marLeft w:val="0"/>
      <w:marRight w:val="0"/>
      <w:marTop w:val="0"/>
      <w:marBottom w:val="0"/>
      <w:divBdr>
        <w:top w:val="none" w:sz="0" w:space="0" w:color="auto"/>
        <w:left w:val="none" w:sz="0" w:space="0" w:color="auto"/>
        <w:bottom w:val="none" w:sz="0" w:space="0" w:color="auto"/>
        <w:right w:val="none" w:sz="0" w:space="0" w:color="auto"/>
      </w:divBdr>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53746780">
      <w:bodyDiv w:val="1"/>
      <w:marLeft w:val="0"/>
      <w:marRight w:val="0"/>
      <w:marTop w:val="0"/>
      <w:marBottom w:val="0"/>
      <w:divBdr>
        <w:top w:val="none" w:sz="0" w:space="0" w:color="auto"/>
        <w:left w:val="none" w:sz="0" w:space="0" w:color="auto"/>
        <w:bottom w:val="none" w:sz="0" w:space="0" w:color="auto"/>
        <w:right w:val="none" w:sz="0" w:space="0" w:color="auto"/>
      </w:divBdr>
    </w:div>
    <w:div w:id="61298776">
      <w:bodyDiv w:val="1"/>
      <w:marLeft w:val="0"/>
      <w:marRight w:val="0"/>
      <w:marTop w:val="0"/>
      <w:marBottom w:val="0"/>
      <w:divBdr>
        <w:top w:val="none" w:sz="0" w:space="0" w:color="auto"/>
        <w:left w:val="none" w:sz="0" w:space="0" w:color="auto"/>
        <w:bottom w:val="none" w:sz="0" w:space="0" w:color="auto"/>
        <w:right w:val="none" w:sz="0" w:space="0" w:color="auto"/>
      </w:divBdr>
    </w:div>
    <w:div w:id="64886125">
      <w:bodyDiv w:val="1"/>
      <w:marLeft w:val="0"/>
      <w:marRight w:val="0"/>
      <w:marTop w:val="0"/>
      <w:marBottom w:val="0"/>
      <w:divBdr>
        <w:top w:val="none" w:sz="0" w:space="0" w:color="auto"/>
        <w:left w:val="none" w:sz="0" w:space="0" w:color="auto"/>
        <w:bottom w:val="none" w:sz="0" w:space="0" w:color="auto"/>
        <w:right w:val="none" w:sz="0" w:space="0" w:color="auto"/>
      </w:divBdr>
      <w:divsChild>
        <w:div w:id="1452552983">
          <w:marLeft w:val="0"/>
          <w:marRight w:val="0"/>
          <w:marTop w:val="0"/>
          <w:marBottom w:val="0"/>
          <w:divBdr>
            <w:top w:val="none" w:sz="0" w:space="0" w:color="auto"/>
            <w:left w:val="none" w:sz="0" w:space="0" w:color="auto"/>
            <w:bottom w:val="none" w:sz="0" w:space="0" w:color="auto"/>
            <w:right w:val="none" w:sz="0" w:space="0" w:color="auto"/>
          </w:divBdr>
        </w:div>
      </w:divsChild>
    </w:div>
    <w:div w:id="71316310">
      <w:bodyDiv w:val="1"/>
      <w:marLeft w:val="360"/>
      <w:marRight w:val="360"/>
      <w:marTop w:val="360"/>
      <w:marBottom w:val="360"/>
      <w:divBdr>
        <w:top w:val="none" w:sz="0" w:space="0" w:color="auto"/>
        <w:left w:val="none" w:sz="0" w:space="0" w:color="auto"/>
        <w:bottom w:val="none" w:sz="0" w:space="0" w:color="auto"/>
        <w:right w:val="none" w:sz="0" w:space="0" w:color="auto"/>
      </w:divBdr>
    </w:div>
    <w:div w:id="77139088">
      <w:bodyDiv w:val="1"/>
      <w:marLeft w:val="0"/>
      <w:marRight w:val="0"/>
      <w:marTop w:val="0"/>
      <w:marBottom w:val="0"/>
      <w:divBdr>
        <w:top w:val="none" w:sz="0" w:space="0" w:color="auto"/>
        <w:left w:val="none" w:sz="0" w:space="0" w:color="auto"/>
        <w:bottom w:val="none" w:sz="0" w:space="0" w:color="auto"/>
        <w:right w:val="none" w:sz="0" w:space="0" w:color="auto"/>
      </w:divBdr>
      <w:divsChild>
        <w:div w:id="1445806022">
          <w:marLeft w:val="0"/>
          <w:marRight w:val="0"/>
          <w:marTop w:val="0"/>
          <w:marBottom w:val="0"/>
          <w:divBdr>
            <w:top w:val="none" w:sz="0" w:space="0" w:color="auto"/>
            <w:left w:val="none" w:sz="0" w:space="0" w:color="auto"/>
            <w:bottom w:val="none" w:sz="0" w:space="0" w:color="auto"/>
            <w:right w:val="none" w:sz="0" w:space="0" w:color="auto"/>
          </w:divBdr>
          <w:divsChild>
            <w:div w:id="1599101092">
              <w:marLeft w:val="0"/>
              <w:marRight w:val="0"/>
              <w:marTop w:val="0"/>
              <w:marBottom w:val="0"/>
              <w:divBdr>
                <w:top w:val="none" w:sz="0" w:space="0" w:color="auto"/>
                <w:left w:val="none" w:sz="0" w:space="0" w:color="auto"/>
                <w:bottom w:val="none" w:sz="0" w:space="0" w:color="auto"/>
                <w:right w:val="none" w:sz="0" w:space="0" w:color="auto"/>
              </w:divBdr>
              <w:divsChild>
                <w:div w:id="81996365">
                  <w:marLeft w:val="0"/>
                  <w:marRight w:val="0"/>
                  <w:marTop w:val="0"/>
                  <w:marBottom w:val="0"/>
                  <w:divBdr>
                    <w:top w:val="none" w:sz="0" w:space="0" w:color="auto"/>
                    <w:left w:val="none" w:sz="0" w:space="0" w:color="auto"/>
                    <w:bottom w:val="none" w:sz="0" w:space="0" w:color="auto"/>
                    <w:right w:val="none" w:sz="0" w:space="0" w:color="auto"/>
                  </w:divBdr>
                </w:div>
              </w:divsChild>
            </w:div>
            <w:div w:id="2105301585">
              <w:marLeft w:val="0"/>
              <w:marRight w:val="0"/>
              <w:marTop w:val="0"/>
              <w:marBottom w:val="0"/>
              <w:divBdr>
                <w:top w:val="none" w:sz="0" w:space="0" w:color="auto"/>
                <w:left w:val="none" w:sz="0" w:space="0" w:color="auto"/>
                <w:bottom w:val="none" w:sz="0" w:space="0" w:color="auto"/>
                <w:right w:val="none" w:sz="0" w:space="0" w:color="auto"/>
              </w:divBdr>
              <w:divsChild>
                <w:div w:id="943728823">
                  <w:marLeft w:val="0"/>
                  <w:marRight w:val="0"/>
                  <w:marTop w:val="0"/>
                  <w:marBottom w:val="0"/>
                  <w:divBdr>
                    <w:top w:val="none" w:sz="0" w:space="0" w:color="auto"/>
                    <w:left w:val="none" w:sz="0" w:space="0" w:color="auto"/>
                    <w:bottom w:val="none" w:sz="0" w:space="0" w:color="auto"/>
                    <w:right w:val="none" w:sz="0" w:space="0" w:color="auto"/>
                  </w:divBdr>
                </w:div>
              </w:divsChild>
            </w:div>
            <w:div w:id="1325551734">
              <w:marLeft w:val="0"/>
              <w:marRight w:val="0"/>
              <w:marTop w:val="0"/>
              <w:marBottom w:val="0"/>
              <w:divBdr>
                <w:top w:val="none" w:sz="0" w:space="0" w:color="auto"/>
                <w:left w:val="none" w:sz="0" w:space="0" w:color="auto"/>
                <w:bottom w:val="none" w:sz="0" w:space="0" w:color="auto"/>
                <w:right w:val="none" w:sz="0" w:space="0" w:color="auto"/>
              </w:divBdr>
              <w:divsChild>
                <w:div w:id="579291877">
                  <w:marLeft w:val="0"/>
                  <w:marRight w:val="0"/>
                  <w:marTop w:val="0"/>
                  <w:marBottom w:val="0"/>
                  <w:divBdr>
                    <w:top w:val="none" w:sz="0" w:space="0" w:color="auto"/>
                    <w:left w:val="none" w:sz="0" w:space="0" w:color="auto"/>
                    <w:bottom w:val="none" w:sz="0" w:space="0" w:color="auto"/>
                    <w:right w:val="none" w:sz="0" w:space="0" w:color="auto"/>
                  </w:divBdr>
                  <w:divsChild>
                    <w:div w:id="1743483735">
                      <w:marLeft w:val="0"/>
                      <w:marRight w:val="0"/>
                      <w:marTop w:val="0"/>
                      <w:marBottom w:val="0"/>
                      <w:divBdr>
                        <w:top w:val="none" w:sz="0" w:space="0" w:color="auto"/>
                        <w:left w:val="none" w:sz="0" w:space="0" w:color="auto"/>
                        <w:bottom w:val="none" w:sz="0" w:space="0" w:color="auto"/>
                        <w:right w:val="none" w:sz="0" w:space="0" w:color="auto"/>
                      </w:divBdr>
                    </w:div>
                    <w:div w:id="20267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9841">
          <w:marLeft w:val="0"/>
          <w:marRight w:val="0"/>
          <w:marTop w:val="0"/>
          <w:marBottom w:val="0"/>
          <w:divBdr>
            <w:top w:val="none" w:sz="0" w:space="0" w:color="auto"/>
            <w:left w:val="none" w:sz="0" w:space="0" w:color="auto"/>
            <w:bottom w:val="none" w:sz="0" w:space="0" w:color="auto"/>
            <w:right w:val="none" w:sz="0" w:space="0" w:color="auto"/>
          </w:divBdr>
          <w:divsChild>
            <w:div w:id="736365514">
              <w:marLeft w:val="0"/>
              <w:marRight w:val="0"/>
              <w:marTop w:val="0"/>
              <w:marBottom w:val="0"/>
              <w:divBdr>
                <w:top w:val="none" w:sz="0" w:space="0" w:color="auto"/>
                <w:left w:val="none" w:sz="0" w:space="0" w:color="auto"/>
                <w:bottom w:val="none" w:sz="0" w:space="0" w:color="auto"/>
                <w:right w:val="none" w:sz="0" w:space="0" w:color="auto"/>
              </w:divBdr>
            </w:div>
            <w:div w:id="1183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524">
      <w:bodyDiv w:val="1"/>
      <w:marLeft w:val="0"/>
      <w:marRight w:val="0"/>
      <w:marTop w:val="0"/>
      <w:marBottom w:val="0"/>
      <w:divBdr>
        <w:top w:val="none" w:sz="0" w:space="0" w:color="auto"/>
        <w:left w:val="none" w:sz="0" w:space="0" w:color="auto"/>
        <w:bottom w:val="none" w:sz="0" w:space="0" w:color="auto"/>
        <w:right w:val="none" w:sz="0" w:space="0" w:color="auto"/>
      </w:divBdr>
      <w:divsChild>
        <w:div w:id="14887042">
          <w:marLeft w:val="0"/>
          <w:marRight w:val="108"/>
          <w:marTop w:val="108"/>
          <w:marBottom w:val="108"/>
          <w:divBdr>
            <w:top w:val="none" w:sz="0" w:space="0" w:color="auto"/>
            <w:left w:val="none" w:sz="0" w:space="0" w:color="auto"/>
            <w:bottom w:val="none" w:sz="0" w:space="0" w:color="auto"/>
            <w:right w:val="none" w:sz="0" w:space="0" w:color="auto"/>
          </w:divBdr>
          <w:divsChild>
            <w:div w:id="707028335">
              <w:marLeft w:val="0"/>
              <w:marRight w:val="0"/>
              <w:marTop w:val="0"/>
              <w:marBottom w:val="0"/>
              <w:divBdr>
                <w:top w:val="none" w:sz="0" w:space="0" w:color="auto"/>
                <w:left w:val="none" w:sz="0" w:space="0" w:color="auto"/>
                <w:bottom w:val="none" w:sz="0" w:space="0" w:color="auto"/>
                <w:right w:val="none" w:sz="0" w:space="0" w:color="auto"/>
              </w:divBdr>
              <w:divsChild>
                <w:div w:id="744257412">
                  <w:marLeft w:val="0"/>
                  <w:marRight w:val="0"/>
                  <w:marTop w:val="0"/>
                  <w:marBottom w:val="0"/>
                  <w:divBdr>
                    <w:top w:val="none" w:sz="0" w:space="0" w:color="auto"/>
                    <w:left w:val="none" w:sz="0" w:space="0" w:color="auto"/>
                    <w:bottom w:val="none" w:sz="0" w:space="0" w:color="auto"/>
                    <w:right w:val="none" w:sz="0" w:space="0" w:color="auto"/>
                  </w:divBdr>
                  <w:divsChild>
                    <w:div w:id="1679040146">
                      <w:marLeft w:val="0"/>
                      <w:marRight w:val="0"/>
                      <w:marTop w:val="0"/>
                      <w:marBottom w:val="0"/>
                      <w:divBdr>
                        <w:top w:val="none" w:sz="0" w:space="0" w:color="auto"/>
                        <w:left w:val="none" w:sz="0" w:space="0" w:color="auto"/>
                        <w:bottom w:val="none" w:sz="0" w:space="0" w:color="auto"/>
                        <w:right w:val="none" w:sz="0" w:space="0" w:color="auto"/>
                      </w:divBdr>
                      <w:divsChild>
                        <w:div w:id="19836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9839">
      <w:bodyDiv w:val="1"/>
      <w:marLeft w:val="0"/>
      <w:marRight w:val="0"/>
      <w:marTop w:val="0"/>
      <w:marBottom w:val="0"/>
      <w:divBdr>
        <w:top w:val="none" w:sz="0" w:space="0" w:color="auto"/>
        <w:left w:val="none" w:sz="0" w:space="0" w:color="auto"/>
        <w:bottom w:val="none" w:sz="0" w:space="0" w:color="auto"/>
        <w:right w:val="none" w:sz="0" w:space="0" w:color="auto"/>
      </w:divBdr>
      <w:divsChild>
        <w:div w:id="132260076">
          <w:marLeft w:val="0"/>
          <w:marRight w:val="108"/>
          <w:marTop w:val="18"/>
          <w:marBottom w:val="108"/>
          <w:divBdr>
            <w:top w:val="none" w:sz="0" w:space="0" w:color="auto"/>
            <w:left w:val="none" w:sz="0" w:space="0" w:color="auto"/>
            <w:bottom w:val="none" w:sz="0" w:space="0" w:color="auto"/>
            <w:right w:val="none" w:sz="0" w:space="0" w:color="auto"/>
          </w:divBdr>
          <w:divsChild>
            <w:div w:id="781386342">
              <w:marLeft w:val="0"/>
              <w:marRight w:val="0"/>
              <w:marTop w:val="0"/>
              <w:marBottom w:val="0"/>
              <w:divBdr>
                <w:top w:val="none" w:sz="0" w:space="0" w:color="auto"/>
                <w:left w:val="none" w:sz="0" w:space="0" w:color="auto"/>
                <w:bottom w:val="none" w:sz="0" w:space="0" w:color="auto"/>
                <w:right w:val="none" w:sz="0" w:space="0" w:color="auto"/>
              </w:divBdr>
              <w:divsChild>
                <w:div w:id="1543129001">
                  <w:marLeft w:val="0"/>
                  <w:marRight w:val="0"/>
                  <w:marTop w:val="0"/>
                  <w:marBottom w:val="0"/>
                  <w:divBdr>
                    <w:top w:val="none" w:sz="0" w:space="0" w:color="auto"/>
                    <w:left w:val="none" w:sz="0" w:space="0" w:color="auto"/>
                    <w:bottom w:val="none" w:sz="0" w:space="0" w:color="auto"/>
                    <w:right w:val="none" w:sz="0" w:space="0" w:color="auto"/>
                  </w:divBdr>
                  <w:divsChild>
                    <w:div w:id="31348120">
                      <w:marLeft w:val="0"/>
                      <w:marRight w:val="0"/>
                      <w:marTop w:val="0"/>
                      <w:marBottom w:val="0"/>
                      <w:divBdr>
                        <w:top w:val="none" w:sz="0" w:space="0" w:color="auto"/>
                        <w:left w:val="none" w:sz="0" w:space="0" w:color="auto"/>
                        <w:bottom w:val="none" w:sz="0" w:space="0" w:color="auto"/>
                        <w:right w:val="none" w:sz="0" w:space="0" w:color="auto"/>
                      </w:divBdr>
                      <w:divsChild>
                        <w:div w:id="3035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6979">
      <w:bodyDiv w:val="1"/>
      <w:marLeft w:val="0"/>
      <w:marRight w:val="0"/>
      <w:marTop w:val="0"/>
      <w:marBottom w:val="0"/>
      <w:divBdr>
        <w:top w:val="none" w:sz="0" w:space="0" w:color="auto"/>
        <w:left w:val="none" w:sz="0" w:space="0" w:color="auto"/>
        <w:bottom w:val="none" w:sz="0" w:space="0" w:color="auto"/>
        <w:right w:val="none" w:sz="0" w:space="0" w:color="auto"/>
      </w:divBdr>
    </w:div>
    <w:div w:id="113671966">
      <w:bodyDiv w:val="1"/>
      <w:marLeft w:val="0"/>
      <w:marRight w:val="0"/>
      <w:marTop w:val="0"/>
      <w:marBottom w:val="0"/>
      <w:divBdr>
        <w:top w:val="none" w:sz="0" w:space="0" w:color="auto"/>
        <w:left w:val="none" w:sz="0" w:space="0" w:color="auto"/>
        <w:bottom w:val="none" w:sz="0" w:space="0" w:color="auto"/>
        <w:right w:val="none" w:sz="0" w:space="0" w:color="auto"/>
      </w:divBdr>
    </w:div>
    <w:div w:id="115762135">
      <w:bodyDiv w:val="1"/>
      <w:marLeft w:val="0"/>
      <w:marRight w:val="0"/>
      <w:marTop w:val="0"/>
      <w:marBottom w:val="0"/>
      <w:divBdr>
        <w:top w:val="none" w:sz="0" w:space="0" w:color="auto"/>
        <w:left w:val="none" w:sz="0" w:space="0" w:color="auto"/>
        <w:bottom w:val="none" w:sz="0" w:space="0" w:color="auto"/>
        <w:right w:val="none" w:sz="0" w:space="0" w:color="auto"/>
      </w:divBdr>
    </w:div>
    <w:div w:id="144665615">
      <w:bodyDiv w:val="1"/>
      <w:marLeft w:val="0"/>
      <w:marRight w:val="0"/>
      <w:marTop w:val="0"/>
      <w:marBottom w:val="0"/>
      <w:divBdr>
        <w:top w:val="none" w:sz="0" w:space="0" w:color="auto"/>
        <w:left w:val="none" w:sz="0" w:space="0" w:color="auto"/>
        <w:bottom w:val="none" w:sz="0" w:space="0" w:color="auto"/>
        <w:right w:val="none" w:sz="0" w:space="0" w:color="auto"/>
      </w:divBdr>
      <w:divsChild>
        <w:div w:id="1427770969">
          <w:marLeft w:val="0"/>
          <w:marRight w:val="108"/>
          <w:marTop w:val="108"/>
          <w:marBottom w:val="108"/>
          <w:divBdr>
            <w:top w:val="none" w:sz="0" w:space="0" w:color="auto"/>
            <w:left w:val="none" w:sz="0" w:space="0" w:color="auto"/>
            <w:bottom w:val="none" w:sz="0" w:space="0" w:color="auto"/>
            <w:right w:val="none" w:sz="0" w:space="0" w:color="auto"/>
          </w:divBdr>
          <w:divsChild>
            <w:div w:id="1294485134">
              <w:marLeft w:val="0"/>
              <w:marRight w:val="0"/>
              <w:marTop w:val="0"/>
              <w:marBottom w:val="0"/>
              <w:divBdr>
                <w:top w:val="none" w:sz="0" w:space="0" w:color="auto"/>
                <w:left w:val="none" w:sz="0" w:space="0" w:color="auto"/>
                <w:bottom w:val="none" w:sz="0" w:space="0" w:color="auto"/>
                <w:right w:val="none" w:sz="0" w:space="0" w:color="auto"/>
              </w:divBdr>
              <w:divsChild>
                <w:div w:id="1812096072">
                  <w:marLeft w:val="0"/>
                  <w:marRight w:val="0"/>
                  <w:marTop w:val="0"/>
                  <w:marBottom w:val="0"/>
                  <w:divBdr>
                    <w:top w:val="none" w:sz="0" w:space="0" w:color="auto"/>
                    <w:left w:val="none" w:sz="0" w:space="0" w:color="auto"/>
                    <w:bottom w:val="none" w:sz="0" w:space="0" w:color="auto"/>
                    <w:right w:val="none" w:sz="0" w:space="0" w:color="auto"/>
                  </w:divBdr>
                  <w:divsChild>
                    <w:div w:id="328019273">
                      <w:marLeft w:val="0"/>
                      <w:marRight w:val="0"/>
                      <w:marTop w:val="0"/>
                      <w:marBottom w:val="0"/>
                      <w:divBdr>
                        <w:top w:val="none" w:sz="0" w:space="0" w:color="auto"/>
                        <w:left w:val="none" w:sz="0" w:space="0" w:color="auto"/>
                        <w:bottom w:val="none" w:sz="0" w:space="0" w:color="auto"/>
                        <w:right w:val="none" w:sz="0" w:space="0" w:color="auto"/>
                      </w:divBdr>
                      <w:divsChild>
                        <w:div w:id="608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7858">
      <w:bodyDiv w:val="1"/>
      <w:marLeft w:val="0"/>
      <w:marRight w:val="0"/>
      <w:marTop w:val="0"/>
      <w:marBottom w:val="0"/>
      <w:divBdr>
        <w:top w:val="none" w:sz="0" w:space="0" w:color="auto"/>
        <w:left w:val="none" w:sz="0" w:space="0" w:color="auto"/>
        <w:bottom w:val="none" w:sz="0" w:space="0" w:color="auto"/>
        <w:right w:val="none" w:sz="0" w:space="0" w:color="auto"/>
      </w:divBdr>
    </w:div>
    <w:div w:id="170265286">
      <w:bodyDiv w:val="1"/>
      <w:marLeft w:val="0"/>
      <w:marRight w:val="0"/>
      <w:marTop w:val="0"/>
      <w:marBottom w:val="0"/>
      <w:divBdr>
        <w:top w:val="none" w:sz="0" w:space="0" w:color="auto"/>
        <w:left w:val="none" w:sz="0" w:space="0" w:color="auto"/>
        <w:bottom w:val="none" w:sz="0" w:space="0" w:color="auto"/>
        <w:right w:val="none" w:sz="0" w:space="0" w:color="auto"/>
      </w:divBdr>
      <w:divsChild>
        <w:div w:id="1924218097">
          <w:marLeft w:val="0"/>
          <w:marRight w:val="108"/>
          <w:marTop w:val="18"/>
          <w:marBottom w:val="108"/>
          <w:divBdr>
            <w:top w:val="none" w:sz="0" w:space="0" w:color="auto"/>
            <w:left w:val="none" w:sz="0" w:space="0" w:color="auto"/>
            <w:bottom w:val="none" w:sz="0" w:space="0" w:color="auto"/>
            <w:right w:val="none" w:sz="0" w:space="0" w:color="auto"/>
          </w:divBdr>
          <w:divsChild>
            <w:div w:id="151020374">
              <w:marLeft w:val="0"/>
              <w:marRight w:val="0"/>
              <w:marTop w:val="0"/>
              <w:marBottom w:val="0"/>
              <w:divBdr>
                <w:top w:val="none" w:sz="0" w:space="0" w:color="auto"/>
                <w:left w:val="none" w:sz="0" w:space="0" w:color="auto"/>
                <w:bottom w:val="none" w:sz="0" w:space="0" w:color="auto"/>
                <w:right w:val="none" w:sz="0" w:space="0" w:color="auto"/>
              </w:divBdr>
              <w:divsChild>
                <w:div w:id="1881165900">
                  <w:marLeft w:val="0"/>
                  <w:marRight w:val="0"/>
                  <w:marTop w:val="0"/>
                  <w:marBottom w:val="0"/>
                  <w:divBdr>
                    <w:top w:val="none" w:sz="0" w:space="0" w:color="auto"/>
                    <w:left w:val="none" w:sz="0" w:space="0" w:color="auto"/>
                    <w:bottom w:val="none" w:sz="0" w:space="0" w:color="auto"/>
                    <w:right w:val="none" w:sz="0" w:space="0" w:color="auto"/>
                  </w:divBdr>
                  <w:divsChild>
                    <w:div w:id="81151101">
                      <w:marLeft w:val="0"/>
                      <w:marRight w:val="0"/>
                      <w:marTop w:val="0"/>
                      <w:marBottom w:val="0"/>
                      <w:divBdr>
                        <w:top w:val="none" w:sz="0" w:space="0" w:color="auto"/>
                        <w:left w:val="none" w:sz="0" w:space="0" w:color="auto"/>
                        <w:bottom w:val="none" w:sz="0" w:space="0" w:color="auto"/>
                        <w:right w:val="none" w:sz="0" w:space="0" w:color="auto"/>
                      </w:divBdr>
                      <w:divsChild>
                        <w:div w:id="2432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57759">
      <w:bodyDiv w:val="1"/>
      <w:marLeft w:val="0"/>
      <w:marRight w:val="0"/>
      <w:marTop w:val="0"/>
      <w:marBottom w:val="0"/>
      <w:divBdr>
        <w:top w:val="none" w:sz="0" w:space="0" w:color="auto"/>
        <w:left w:val="none" w:sz="0" w:space="0" w:color="auto"/>
        <w:bottom w:val="none" w:sz="0" w:space="0" w:color="auto"/>
        <w:right w:val="none" w:sz="0" w:space="0" w:color="auto"/>
      </w:divBdr>
      <w:divsChild>
        <w:div w:id="818569139">
          <w:marLeft w:val="0"/>
          <w:marRight w:val="0"/>
          <w:marTop w:val="0"/>
          <w:marBottom w:val="0"/>
          <w:divBdr>
            <w:top w:val="none" w:sz="0" w:space="0" w:color="auto"/>
            <w:left w:val="none" w:sz="0" w:space="0" w:color="auto"/>
            <w:bottom w:val="none" w:sz="0" w:space="0" w:color="auto"/>
            <w:right w:val="none" w:sz="0" w:space="0" w:color="auto"/>
          </w:divBdr>
          <w:divsChild>
            <w:div w:id="1727102489">
              <w:marLeft w:val="0"/>
              <w:marRight w:val="0"/>
              <w:marTop w:val="0"/>
              <w:marBottom w:val="0"/>
              <w:divBdr>
                <w:top w:val="none" w:sz="0" w:space="0" w:color="auto"/>
                <w:left w:val="none" w:sz="0" w:space="0" w:color="auto"/>
                <w:bottom w:val="none" w:sz="0" w:space="0" w:color="auto"/>
                <w:right w:val="none" w:sz="0" w:space="0" w:color="auto"/>
              </w:divBdr>
              <w:divsChild>
                <w:div w:id="4198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2794">
      <w:bodyDiv w:val="1"/>
      <w:marLeft w:val="0"/>
      <w:marRight w:val="0"/>
      <w:marTop w:val="0"/>
      <w:marBottom w:val="0"/>
      <w:divBdr>
        <w:top w:val="none" w:sz="0" w:space="0" w:color="auto"/>
        <w:left w:val="none" w:sz="0" w:space="0" w:color="auto"/>
        <w:bottom w:val="none" w:sz="0" w:space="0" w:color="auto"/>
        <w:right w:val="none" w:sz="0" w:space="0" w:color="auto"/>
      </w:divBdr>
      <w:divsChild>
        <w:div w:id="843131787">
          <w:marLeft w:val="0"/>
          <w:marRight w:val="0"/>
          <w:marTop w:val="0"/>
          <w:marBottom w:val="0"/>
          <w:divBdr>
            <w:top w:val="none" w:sz="0" w:space="0" w:color="auto"/>
            <w:left w:val="none" w:sz="0" w:space="0" w:color="auto"/>
            <w:bottom w:val="none" w:sz="0" w:space="0" w:color="auto"/>
            <w:right w:val="none" w:sz="0" w:space="0" w:color="auto"/>
          </w:divBdr>
        </w:div>
      </w:divsChild>
    </w:div>
    <w:div w:id="183635029">
      <w:bodyDiv w:val="1"/>
      <w:marLeft w:val="0"/>
      <w:marRight w:val="0"/>
      <w:marTop w:val="0"/>
      <w:marBottom w:val="0"/>
      <w:divBdr>
        <w:top w:val="none" w:sz="0" w:space="0" w:color="auto"/>
        <w:left w:val="none" w:sz="0" w:space="0" w:color="auto"/>
        <w:bottom w:val="none" w:sz="0" w:space="0" w:color="auto"/>
        <w:right w:val="none" w:sz="0" w:space="0" w:color="auto"/>
      </w:divBdr>
      <w:divsChild>
        <w:div w:id="1421368394">
          <w:marLeft w:val="0"/>
          <w:marRight w:val="0"/>
          <w:marTop w:val="0"/>
          <w:marBottom w:val="0"/>
          <w:divBdr>
            <w:top w:val="none" w:sz="0" w:space="0" w:color="auto"/>
            <w:left w:val="none" w:sz="0" w:space="0" w:color="auto"/>
            <w:bottom w:val="none" w:sz="0" w:space="0" w:color="auto"/>
            <w:right w:val="none" w:sz="0" w:space="0" w:color="auto"/>
          </w:divBdr>
        </w:div>
        <w:div w:id="832188613">
          <w:marLeft w:val="0"/>
          <w:marRight w:val="0"/>
          <w:marTop w:val="0"/>
          <w:marBottom w:val="0"/>
          <w:divBdr>
            <w:top w:val="none" w:sz="0" w:space="0" w:color="auto"/>
            <w:left w:val="none" w:sz="0" w:space="0" w:color="auto"/>
            <w:bottom w:val="none" w:sz="0" w:space="0" w:color="auto"/>
            <w:right w:val="none" w:sz="0" w:space="0" w:color="auto"/>
          </w:divBdr>
        </w:div>
      </w:divsChild>
    </w:div>
    <w:div w:id="185094579">
      <w:bodyDiv w:val="1"/>
      <w:marLeft w:val="0"/>
      <w:marRight w:val="0"/>
      <w:marTop w:val="0"/>
      <w:marBottom w:val="0"/>
      <w:divBdr>
        <w:top w:val="none" w:sz="0" w:space="0" w:color="auto"/>
        <w:left w:val="none" w:sz="0" w:space="0" w:color="auto"/>
        <w:bottom w:val="none" w:sz="0" w:space="0" w:color="auto"/>
        <w:right w:val="none" w:sz="0" w:space="0" w:color="auto"/>
      </w:divBdr>
      <w:divsChild>
        <w:div w:id="1315140329">
          <w:marLeft w:val="0"/>
          <w:marRight w:val="0"/>
          <w:marTop w:val="0"/>
          <w:marBottom w:val="0"/>
          <w:divBdr>
            <w:top w:val="none" w:sz="0" w:space="0" w:color="auto"/>
            <w:left w:val="none" w:sz="0" w:space="0" w:color="auto"/>
            <w:bottom w:val="none" w:sz="0" w:space="0" w:color="auto"/>
            <w:right w:val="none" w:sz="0" w:space="0" w:color="auto"/>
          </w:divBdr>
        </w:div>
      </w:divsChild>
    </w:div>
    <w:div w:id="186339094">
      <w:bodyDiv w:val="1"/>
      <w:marLeft w:val="0"/>
      <w:marRight w:val="0"/>
      <w:marTop w:val="0"/>
      <w:marBottom w:val="0"/>
      <w:divBdr>
        <w:top w:val="none" w:sz="0" w:space="0" w:color="auto"/>
        <w:left w:val="none" w:sz="0" w:space="0" w:color="auto"/>
        <w:bottom w:val="none" w:sz="0" w:space="0" w:color="auto"/>
        <w:right w:val="none" w:sz="0" w:space="0" w:color="auto"/>
      </w:divBdr>
      <w:divsChild>
        <w:div w:id="1567376602">
          <w:marLeft w:val="0"/>
          <w:marRight w:val="0"/>
          <w:marTop w:val="0"/>
          <w:marBottom w:val="0"/>
          <w:divBdr>
            <w:top w:val="none" w:sz="0" w:space="0" w:color="auto"/>
            <w:left w:val="none" w:sz="0" w:space="0" w:color="auto"/>
            <w:bottom w:val="none" w:sz="0" w:space="0" w:color="auto"/>
            <w:right w:val="none" w:sz="0" w:space="0" w:color="auto"/>
          </w:divBdr>
        </w:div>
      </w:divsChild>
    </w:div>
    <w:div w:id="187303905">
      <w:bodyDiv w:val="1"/>
      <w:marLeft w:val="0"/>
      <w:marRight w:val="0"/>
      <w:marTop w:val="0"/>
      <w:marBottom w:val="0"/>
      <w:divBdr>
        <w:top w:val="none" w:sz="0" w:space="0" w:color="auto"/>
        <w:left w:val="none" w:sz="0" w:space="0" w:color="auto"/>
        <w:bottom w:val="none" w:sz="0" w:space="0" w:color="auto"/>
        <w:right w:val="none" w:sz="0" w:space="0" w:color="auto"/>
      </w:divBdr>
      <w:divsChild>
        <w:div w:id="2093771981">
          <w:marLeft w:val="0"/>
          <w:marRight w:val="0"/>
          <w:marTop w:val="0"/>
          <w:marBottom w:val="0"/>
          <w:divBdr>
            <w:top w:val="none" w:sz="0" w:space="0" w:color="auto"/>
            <w:left w:val="none" w:sz="0" w:space="0" w:color="auto"/>
            <w:bottom w:val="none" w:sz="0" w:space="0" w:color="auto"/>
            <w:right w:val="none" w:sz="0" w:space="0" w:color="auto"/>
          </w:divBdr>
          <w:divsChild>
            <w:div w:id="1949072002">
              <w:marLeft w:val="0"/>
              <w:marRight w:val="0"/>
              <w:marTop w:val="0"/>
              <w:marBottom w:val="0"/>
              <w:divBdr>
                <w:top w:val="none" w:sz="0" w:space="0" w:color="auto"/>
                <w:left w:val="none" w:sz="0" w:space="0" w:color="auto"/>
                <w:bottom w:val="none" w:sz="0" w:space="0" w:color="auto"/>
                <w:right w:val="none" w:sz="0" w:space="0" w:color="auto"/>
              </w:divBdr>
              <w:divsChild>
                <w:div w:id="6047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3627">
      <w:bodyDiv w:val="1"/>
      <w:marLeft w:val="0"/>
      <w:marRight w:val="0"/>
      <w:marTop w:val="0"/>
      <w:marBottom w:val="0"/>
      <w:divBdr>
        <w:top w:val="none" w:sz="0" w:space="0" w:color="auto"/>
        <w:left w:val="none" w:sz="0" w:space="0" w:color="auto"/>
        <w:bottom w:val="none" w:sz="0" w:space="0" w:color="auto"/>
        <w:right w:val="none" w:sz="0" w:space="0" w:color="auto"/>
      </w:divBdr>
      <w:divsChild>
        <w:div w:id="1160075621">
          <w:marLeft w:val="0"/>
          <w:marRight w:val="0"/>
          <w:marTop w:val="0"/>
          <w:marBottom w:val="0"/>
          <w:divBdr>
            <w:top w:val="none" w:sz="0" w:space="0" w:color="auto"/>
            <w:left w:val="none" w:sz="0" w:space="0" w:color="auto"/>
            <w:bottom w:val="none" w:sz="0" w:space="0" w:color="auto"/>
            <w:right w:val="none" w:sz="0" w:space="0" w:color="auto"/>
          </w:divBdr>
        </w:div>
      </w:divsChild>
    </w:div>
    <w:div w:id="191919166">
      <w:bodyDiv w:val="1"/>
      <w:marLeft w:val="0"/>
      <w:marRight w:val="0"/>
      <w:marTop w:val="0"/>
      <w:marBottom w:val="0"/>
      <w:divBdr>
        <w:top w:val="none" w:sz="0" w:space="0" w:color="auto"/>
        <w:left w:val="none" w:sz="0" w:space="0" w:color="auto"/>
        <w:bottom w:val="none" w:sz="0" w:space="0" w:color="auto"/>
        <w:right w:val="none" w:sz="0" w:space="0" w:color="auto"/>
      </w:divBdr>
    </w:div>
    <w:div w:id="202132218">
      <w:bodyDiv w:val="1"/>
      <w:marLeft w:val="0"/>
      <w:marRight w:val="0"/>
      <w:marTop w:val="0"/>
      <w:marBottom w:val="0"/>
      <w:divBdr>
        <w:top w:val="none" w:sz="0" w:space="0" w:color="auto"/>
        <w:left w:val="none" w:sz="0" w:space="0" w:color="auto"/>
        <w:bottom w:val="none" w:sz="0" w:space="0" w:color="auto"/>
        <w:right w:val="none" w:sz="0" w:space="0" w:color="auto"/>
      </w:divBdr>
    </w:div>
    <w:div w:id="210846085">
      <w:bodyDiv w:val="1"/>
      <w:marLeft w:val="0"/>
      <w:marRight w:val="0"/>
      <w:marTop w:val="0"/>
      <w:marBottom w:val="0"/>
      <w:divBdr>
        <w:top w:val="none" w:sz="0" w:space="0" w:color="auto"/>
        <w:left w:val="none" w:sz="0" w:space="0" w:color="auto"/>
        <w:bottom w:val="none" w:sz="0" w:space="0" w:color="auto"/>
        <w:right w:val="none" w:sz="0" w:space="0" w:color="auto"/>
      </w:divBdr>
      <w:divsChild>
        <w:div w:id="511068779">
          <w:marLeft w:val="0"/>
          <w:marRight w:val="0"/>
          <w:marTop w:val="0"/>
          <w:marBottom w:val="0"/>
          <w:divBdr>
            <w:top w:val="none" w:sz="0" w:space="0" w:color="auto"/>
            <w:left w:val="none" w:sz="0" w:space="0" w:color="auto"/>
            <w:bottom w:val="none" w:sz="0" w:space="0" w:color="auto"/>
            <w:right w:val="none" w:sz="0" w:space="0" w:color="auto"/>
          </w:divBdr>
          <w:divsChild>
            <w:div w:id="641814908">
              <w:marLeft w:val="0"/>
              <w:marRight w:val="0"/>
              <w:marTop w:val="0"/>
              <w:marBottom w:val="0"/>
              <w:divBdr>
                <w:top w:val="none" w:sz="0" w:space="0" w:color="auto"/>
                <w:left w:val="none" w:sz="0" w:space="0" w:color="auto"/>
                <w:bottom w:val="none" w:sz="0" w:space="0" w:color="auto"/>
                <w:right w:val="none" w:sz="0" w:space="0" w:color="auto"/>
              </w:divBdr>
              <w:divsChild>
                <w:div w:id="4872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8405">
      <w:bodyDiv w:val="1"/>
      <w:marLeft w:val="0"/>
      <w:marRight w:val="0"/>
      <w:marTop w:val="0"/>
      <w:marBottom w:val="0"/>
      <w:divBdr>
        <w:top w:val="none" w:sz="0" w:space="0" w:color="auto"/>
        <w:left w:val="none" w:sz="0" w:space="0" w:color="auto"/>
        <w:bottom w:val="none" w:sz="0" w:space="0" w:color="auto"/>
        <w:right w:val="none" w:sz="0" w:space="0" w:color="auto"/>
      </w:divBdr>
      <w:divsChild>
        <w:div w:id="2060206518">
          <w:marLeft w:val="0"/>
          <w:marRight w:val="0"/>
          <w:marTop w:val="0"/>
          <w:marBottom w:val="0"/>
          <w:divBdr>
            <w:top w:val="none" w:sz="0" w:space="0" w:color="auto"/>
            <w:left w:val="none" w:sz="0" w:space="0" w:color="auto"/>
            <w:bottom w:val="none" w:sz="0" w:space="0" w:color="auto"/>
            <w:right w:val="none" w:sz="0" w:space="0" w:color="auto"/>
          </w:divBdr>
        </w:div>
      </w:divsChild>
    </w:div>
    <w:div w:id="227032189">
      <w:bodyDiv w:val="1"/>
      <w:marLeft w:val="360"/>
      <w:marRight w:val="360"/>
      <w:marTop w:val="360"/>
      <w:marBottom w:val="360"/>
      <w:divBdr>
        <w:top w:val="none" w:sz="0" w:space="0" w:color="auto"/>
        <w:left w:val="none" w:sz="0" w:space="0" w:color="auto"/>
        <w:bottom w:val="none" w:sz="0" w:space="0" w:color="auto"/>
        <w:right w:val="none" w:sz="0" w:space="0" w:color="auto"/>
      </w:divBdr>
    </w:div>
    <w:div w:id="229311814">
      <w:bodyDiv w:val="1"/>
      <w:marLeft w:val="0"/>
      <w:marRight w:val="0"/>
      <w:marTop w:val="0"/>
      <w:marBottom w:val="0"/>
      <w:divBdr>
        <w:top w:val="none" w:sz="0" w:space="0" w:color="auto"/>
        <w:left w:val="none" w:sz="0" w:space="0" w:color="auto"/>
        <w:bottom w:val="none" w:sz="0" w:space="0" w:color="auto"/>
        <w:right w:val="none" w:sz="0" w:space="0" w:color="auto"/>
      </w:divBdr>
    </w:div>
    <w:div w:id="244806592">
      <w:bodyDiv w:val="1"/>
      <w:marLeft w:val="0"/>
      <w:marRight w:val="0"/>
      <w:marTop w:val="0"/>
      <w:marBottom w:val="0"/>
      <w:divBdr>
        <w:top w:val="none" w:sz="0" w:space="0" w:color="auto"/>
        <w:left w:val="none" w:sz="0" w:space="0" w:color="auto"/>
        <w:bottom w:val="none" w:sz="0" w:space="0" w:color="auto"/>
        <w:right w:val="none" w:sz="0" w:space="0" w:color="auto"/>
      </w:divBdr>
      <w:divsChild>
        <w:div w:id="698745306">
          <w:marLeft w:val="0"/>
          <w:marRight w:val="0"/>
          <w:marTop w:val="0"/>
          <w:marBottom w:val="0"/>
          <w:divBdr>
            <w:top w:val="none" w:sz="0" w:space="0" w:color="auto"/>
            <w:left w:val="none" w:sz="0" w:space="0" w:color="auto"/>
            <w:bottom w:val="none" w:sz="0" w:space="0" w:color="auto"/>
            <w:right w:val="none" w:sz="0" w:space="0" w:color="auto"/>
          </w:divBdr>
        </w:div>
      </w:divsChild>
    </w:div>
    <w:div w:id="249316662">
      <w:bodyDiv w:val="1"/>
      <w:marLeft w:val="0"/>
      <w:marRight w:val="0"/>
      <w:marTop w:val="0"/>
      <w:marBottom w:val="0"/>
      <w:divBdr>
        <w:top w:val="none" w:sz="0" w:space="0" w:color="auto"/>
        <w:left w:val="none" w:sz="0" w:space="0" w:color="auto"/>
        <w:bottom w:val="none" w:sz="0" w:space="0" w:color="auto"/>
        <w:right w:val="none" w:sz="0" w:space="0" w:color="auto"/>
      </w:divBdr>
      <w:divsChild>
        <w:div w:id="873729967">
          <w:marLeft w:val="0"/>
          <w:marRight w:val="0"/>
          <w:marTop w:val="0"/>
          <w:marBottom w:val="0"/>
          <w:divBdr>
            <w:top w:val="none" w:sz="0" w:space="0" w:color="auto"/>
            <w:left w:val="none" w:sz="0" w:space="0" w:color="auto"/>
            <w:bottom w:val="none" w:sz="0" w:space="0" w:color="auto"/>
            <w:right w:val="none" w:sz="0" w:space="0" w:color="auto"/>
          </w:divBdr>
        </w:div>
        <w:div w:id="682167727">
          <w:marLeft w:val="0"/>
          <w:marRight w:val="0"/>
          <w:marTop w:val="0"/>
          <w:marBottom w:val="0"/>
          <w:divBdr>
            <w:top w:val="none" w:sz="0" w:space="0" w:color="auto"/>
            <w:left w:val="none" w:sz="0" w:space="0" w:color="auto"/>
            <w:bottom w:val="none" w:sz="0" w:space="0" w:color="auto"/>
            <w:right w:val="none" w:sz="0" w:space="0" w:color="auto"/>
          </w:divBdr>
        </w:div>
      </w:divsChild>
    </w:div>
    <w:div w:id="254873564">
      <w:bodyDiv w:val="1"/>
      <w:marLeft w:val="0"/>
      <w:marRight w:val="0"/>
      <w:marTop w:val="0"/>
      <w:marBottom w:val="0"/>
      <w:divBdr>
        <w:top w:val="none" w:sz="0" w:space="0" w:color="auto"/>
        <w:left w:val="none" w:sz="0" w:space="0" w:color="auto"/>
        <w:bottom w:val="none" w:sz="0" w:space="0" w:color="auto"/>
        <w:right w:val="none" w:sz="0" w:space="0" w:color="auto"/>
      </w:divBdr>
      <w:divsChild>
        <w:div w:id="482311204">
          <w:marLeft w:val="0"/>
          <w:marRight w:val="0"/>
          <w:marTop w:val="0"/>
          <w:marBottom w:val="0"/>
          <w:divBdr>
            <w:top w:val="none" w:sz="0" w:space="0" w:color="auto"/>
            <w:left w:val="none" w:sz="0" w:space="0" w:color="auto"/>
            <w:bottom w:val="none" w:sz="0" w:space="0" w:color="auto"/>
            <w:right w:val="none" w:sz="0" w:space="0" w:color="auto"/>
          </w:divBdr>
          <w:divsChild>
            <w:div w:id="1459564665">
              <w:marLeft w:val="0"/>
              <w:marRight w:val="0"/>
              <w:marTop w:val="0"/>
              <w:marBottom w:val="0"/>
              <w:divBdr>
                <w:top w:val="none" w:sz="0" w:space="0" w:color="auto"/>
                <w:left w:val="none" w:sz="0" w:space="0" w:color="auto"/>
                <w:bottom w:val="none" w:sz="0" w:space="0" w:color="auto"/>
                <w:right w:val="none" w:sz="0" w:space="0" w:color="auto"/>
              </w:divBdr>
              <w:divsChild>
                <w:div w:id="14209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50296">
      <w:bodyDiv w:val="1"/>
      <w:marLeft w:val="0"/>
      <w:marRight w:val="0"/>
      <w:marTop w:val="0"/>
      <w:marBottom w:val="0"/>
      <w:divBdr>
        <w:top w:val="none" w:sz="0" w:space="0" w:color="auto"/>
        <w:left w:val="none" w:sz="0" w:space="0" w:color="auto"/>
        <w:bottom w:val="none" w:sz="0" w:space="0" w:color="auto"/>
        <w:right w:val="none" w:sz="0" w:space="0" w:color="auto"/>
      </w:divBdr>
      <w:divsChild>
        <w:div w:id="559512502">
          <w:marLeft w:val="0"/>
          <w:marRight w:val="108"/>
          <w:marTop w:val="18"/>
          <w:marBottom w:val="108"/>
          <w:divBdr>
            <w:top w:val="none" w:sz="0" w:space="0" w:color="auto"/>
            <w:left w:val="none" w:sz="0" w:space="0" w:color="auto"/>
            <w:bottom w:val="none" w:sz="0" w:space="0" w:color="auto"/>
            <w:right w:val="none" w:sz="0" w:space="0" w:color="auto"/>
          </w:divBdr>
          <w:divsChild>
            <w:div w:id="1864128752">
              <w:marLeft w:val="0"/>
              <w:marRight w:val="0"/>
              <w:marTop w:val="0"/>
              <w:marBottom w:val="0"/>
              <w:divBdr>
                <w:top w:val="none" w:sz="0" w:space="0" w:color="auto"/>
                <w:left w:val="none" w:sz="0" w:space="0" w:color="auto"/>
                <w:bottom w:val="none" w:sz="0" w:space="0" w:color="auto"/>
                <w:right w:val="none" w:sz="0" w:space="0" w:color="auto"/>
              </w:divBdr>
              <w:divsChild>
                <w:div w:id="1953199045">
                  <w:marLeft w:val="0"/>
                  <w:marRight w:val="0"/>
                  <w:marTop w:val="0"/>
                  <w:marBottom w:val="0"/>
                  <w:divBdr>
                    <w:top w:val="none" w:sz="0" w:space="0" w:color="auto"/>
                    <w:left w:val="none" w:sz="0" w:space="0" w:color="auto"/>
                    <w:bottom w:val="none" w:sz="0" w:space="0" w:color="auto"/>
                    <w:right w:val="none" w:sz="0" w:space="0" w:color="auto"/>
                  </w:divBdr>
                  <w:divsChild>
                    <w:div w:id="1678115666">
                      <w:marLeft w:val="0"/>
                      <w:marRight w:val="0"/>
                      <w:marTop w:val="0"/>
                      <w:marBottom w:val="0"/>
                      <w:divBdr>
                        <w:top w:val="none" w:sz="0" w:space="0" w:color="auto"/>
                        <w:left w:val="none" w:sz="0" w:space="0" w:color="auto"/>
                        <w:bottom w:val="none" w:sz="0" w:space="0" w:color="auto"/>
                        <w:right w:val="none" w:sz="0" w:space="0" w:color="auto"/>
                      </w:divBdr>
                      <w:divsChild>
                        <w:div w:id="731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955638">
      <w:bodyDiv w:val="1"/>
      <w:marLeft w:val="0"/>
      <w:marRight w:val="0"/>
      <w:marTop w:val="0"/>
      <w:marBottom w:val="0"/>
      <w:divBdr>
        <w:top w:val="none" w:sz="0" w:space="0" w:color="auto"/>
        <w:left w:val="none" w:sz="0" w:space="0" w:color="auto"/>
        <w:bottom w:val="none" w:sz="0" w:space="0" w:color="auto"/>
        <w:right w:val="none" w:sz="0" w:space="0" w:color="auto"/>
      </w:divBdr>
      <w:divsChild>
        <w:div w:id="1500735466">
          <w:marLeft w:val="0"/>
          <w:marRight w:val="108"/>
          <w:marTop w:val="18"/>
          <w:marBottom w:val="108"/>
          <w:divBdr>
            <w:top w:val="none" w:sz="0" w:space="0" w:color="auto"/>
            <w:left w:val="none" w:sz="0" w:space="0" w:color="auto"/>
            <w:bottom w:val="none" w:sz="0" w:space="0" w:color="auto"/>
            <w:right w:val="none" w:sz="0" w:space="0" w:color="auto"/>
          </w:divBdr>
          <w:divsChild>
            <w:div w:id="1711682916">
              <w:marLeft w:val="0"/>
              <w:marRight w:val="0"/>
              <w:marTop w:val="0"/>
              <w:marBottom w:val="0"/>
              <w:divBdr>
                <w:top w:val="none" w:sz="0" w:space="0" w:color="auto"/>
                <w:left w:val="none" w:sz="0" w:space="0" w:color="auto"/>
                <w:bottom w:val="none" w:sz="0" w:space="0" w:color="auto"/>
                <w:right w:val="none" w:sz="0" w:space="0" w:color="auto"/>
              </w:divBdr>
              <w:divsChild>
                <w:div w:id="1504316509">
                  <w:marLeft w:val="0"/>
                  <w:marRight w:val="0"/>
                  <w:marTop w:val="0"/>
                  <w:marBottom w:val="0"/>
                  <w:divBdr>
                    <w:top w:val="none" w:sz="0" w:space="0" w:color="auto"/>
                    <w:left w:val="none" w:sz="0" w:space="0" w:color="auto"/>
                    <w:bottom w:val="none" w:sz="0" w:space="0" w:color="auto"/>
                    <w:right w:val="none" w:sz="0" w:space="0" w:color="auto"/>
                  </w:divBdr>
                  <w:divsChild>
                    <w:div w:id="488522936">
                      <w:marLeft w:val="0"/>
                      <w:marRight w:val="0"/>
                      <w:marTop w:val="0"/>
                      <w:marBottom w:val="0"/>
                      <w:divBdr>
                        <w:top w:val="none" w:sz="0" w:space="0" w:color="auto"/>
                        <w:left w:val="none" w:sz="0" w:space="0" w:color="auto"/>
                        <w:bottom w:val="none" w:sz="0" w:space="0" w:color="auto"/>
                        <w:right w:val="none" w:sz="0" w:space="0" w:color="auto"/>
                      </w:divBdr>
                      <w:divsChild>
                        <w:div w:id="2220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559938">
      <w:bodyDiv w:val="1"/>
      <w:marLeft w:val="0"/>
      <w:marRight w:val="0"/>
      <w:marTop w:val="0"/>
      <w:marBottom w:val="0"/>
      <w:divBdr>
        <w:top w:val="none" w:sz="0" w:space="0" w:color="auto"/>
        <w:left w:val="none" w:sz="0" w:space="0" w:color="auto"/>
        <w:bottom w:val="none" w:sz="0" w:space="0" w:color="auto"/>
        <w:right w:val="none" w:sz="0" w:space="0" w:color="auto"/>
      </w:divBdr>
    </w:div>
    <w:div w:id="326715747">
      <w:bodyDiv w:val="1"/>
      <w:marLeft w:val="0"/>
      <w:marRight w:val="0"/>
      <w:marTop w:val="0"/>
      <w:marBottom w:val="0"/>
      <w:divBdr>
        <w:top w:val="none" w:sz="0" w:space="0" w:color="auto"/>
        <w:left w:val="none" w:sz="0" w:space="0" w:color="auto"/>
        <w:bottom w:val="none" w:sz="0" w:space="0" w:color="auto"/>
        <w:right w:val="none" w:sz="0" w:space="0" w:color="auto"/>
      </w:divBdr>
      <w:divsChild>
        <w:div w:id="173544085">
          <w:marLeft w:val="0"/>
          <w:marRight w:val="0"/>
          <w:marTop w:val="0"/>
          <w:marBottom w:val="0"/>
          <w:divBdr>
            <w:top w:val="none" w:sz="0" w:space="0" w:color="auto"/>
            <w:left w:val="none" w:sz="0" w:space="0" w:color="auto"/>
            <w:bottom w:val="none" w:sz="0" w:space="0" w:color="auto"/>
            <w:right w:val="none" w:sz="0" w:space="0" w:color="auto"/>
          </w:divBdr>
        </w:div>
        <w:div w:id="1750156009">
          <w:marLeft w:val="0"/>
          <w:marRight w:val="0"/>
          <w:marTop w:val="0"/>
          <w:marBottom w:val="0"/>
          <w:divBdr>
            <w:top w:val="none" w:sz="0" w:space="0" w:color="auto"/>
            <w:left w:val="none" w:sz="0" w:space="0" w:color="auto"/>
            <w:bottom w:val="none" w:sz="0" w:space="0" w:color="auto"/>
            <w:right w:val="none" w:sz="0" w:space="0" w:color="auto"/>
          </w:divBdr>
        </w:div>
      </w:divsChild>
    </w:div>
    <w:div w:id="337005924">
      <w:bodyDiv w:val="1"/>
      <w:marLeft w:val="0"/>
      <w:marRight w:val="0"/>
      <w:marTop w:val="0"/>
      <w:marBottom w:val="0"/>
      <w:divBdr>
        <w:top w:val="none" w:sz="0" w:space="0" w:color="auto"/>
        <w:left w:val="none" w:sz="0" w:space="0" w:color="auto"/>
        <w:bottom w:val="none" w:sz="0" w:space="0" w:color="auto"/>
        <w:right w:val="none" w:sz="0" w:space="0" w:color="auto"/>
      </w:divBdr>
      <w:divsChild>
        <w:div w:id="1517039114">
          <w:marLeft w:val="0"/>
          <w:marRight w:val="0"/>
          <w:marTop w:val="0"/>
          <w:marBottom w:val="0"/>
          <w:divBdr>
            <w:top w:val="none" w:sz="0" w:space="0" w:color="auto"/>
            <w:left w:val="none" w:sz="0" w:space="0" w:color="auto"/>
            <w:bottom w:val="none" w:sz="0" w:space="0" w:color="auto"/>
            <w:right w:val="none" w:sz="0" w:space="0" w:color="auto"/>
          </w:divBdr>
        </w:div>
        <w:div w:id="980615235">
          <w:marLeft w:val="0"/>
          <w:marRight w:val="0"/>
          <w:marTop w:val="0"/>
          <w:marBottom w:val="0"/>
          <w:divBdr>
            <w:top w:val="none" w:sz="0" w:space="0" w:color="auto"/>
            <w:left w:val="none" w:sz="0" w:space="0" w:color="auto"/>
            <w:bottom w:val="none" w:sz="0" w:space="0" w:color="auto"/>
            <w:right w:val="none" w:sz="0" w:space="0" w:color="auto"/>
          </w:divBdr>
        </w:div>
      </w:divsChild>
    </w:div>
    <w:div w:id="354812923">
      <w:bodyDiv w:val="1"/>
      <w:marLeft w:val="0"/>
      <w:marRight w:val="0"/>
      <w:marTop w:val="0"/>
      <w:marBottom w:val="0"/>
      <w:divBdr>
        <w:top w:val="none" w:sz="0" w:space="0" w:color="auto"/>
        <w:left w:val="none" w:sz="0" w:space="0" w:color="auto"/>
        <w:bottom w:val="none" w:sz="0" w:space="0" w:color="auto"/>
        <w:right w:val="none" w:sz="0" w:space="0" w:color="auto"/>
      </w:divBdr>
    </w:div>
    <w:div w:id="364332968">
      <w:bodyDiv w:val="1"/>
      <w:marLeft w:val="0"/>
      <w:marRight w:val="0"/>
      <w:marTop w:val="0"/>
      <w:marBottom w:val="0"/>
      <w:divBdr>
        <w:top w:val="none" w:sz="0" w:space="0" w:color="auto"/>
        <w:left w:val="none" w:sz="0" w:space="0" w:color="auto"/>
        <w:bottom w:val="none" w:sz="0" w:space="0" w:color="auto"/>
        <w:right w:val="none" w:sz="0" w:space="0" w:color="auto"/>
      </w:divBdr>
      <w:divsChild>
        <w:div w:id="898514222">
          <w:marLeft w:val="0"/>
          <w:marRight w:val="0"/>
          <w:marTop w:val="0"/>
          <w:marBottom w:val="0"/>
          <w:divBdr>
            <w:top w:val="none" w:sz="0" w:space="0" w:color="auto"/>
            <w:left w:val="none" w:sz="0" w:space="0" w:color="auto"/>
            <w:bottom w:val="none" w:sz="0" w:space="0" w:color="auto"/>
            <w:right w:val="none" w:sz="0" w:space="0" w:color="auto"/>
          </w:divBdr>
        </w:div>
      </w:divsChild>
    </w:div>
    <w:div w:id="389156563">
      <w:bodyDiv w:val="1"/>
      <w:marLeft w:val="0"/>
      <w:marRight w:val="0"/>
      <w:marTop w:val="0"/>
      <w:marBottom w:val="0"/>
      <w:divBdr>
        <w:top w:val="none" w:sz="0" w:space="0" w:color="auto"/>
        <w:left w:val="none" w:sz="0" w:space="0" w:color="auto"/>
        <w:bottom w:val="none" w:sz="0" w:space="0" w:color="auto"/>
        <w:right w:val="none" w:sz="0" w:space="0" w:color="auto"/>
      </w:divBdr>
      <w:divsChild>
        <w:div w:id="700476758">
          <w:marLeft w:val="0"/>
          <w:marRight w:val="0"/>
          <w:marTop w:val="0"/>
          <w:marBottom w:val="0"/>
          <w:divBdr>
            <w:top w:val="none" w:sz="0" w:space="0" w:color="auto"/>
            <w:left w:val="none" w:sz="0" w:space="0" w:color="auto"/>
            <w:bottom w:val="none" w:sz="0" w:space="0" w:color="auto"/>
            <w:right w:val="none" w:sz="0" w:space="0" w:color="auto"/>
          </w:divBdr>
        </w:div>
      </w:divsChild>
    </w:div>
    <w:div w:id="391201913">
      <w:bodyDiv w:val="1"/>
      <w:marLeft w:val="0"/>
      <w:marRight w:val="0"/>
      <w:marTop w:val="0"/>
      <w:marBottom w:val="0"/>
      <w:divBdr>
        <w:top w:val="none" w:sz="0" w:space="0" w:color="auto"/>
        <w:left w:val="none" w:sz="0" w:space="0" w:color="auto"/>
        <w:bottom w:val="none" w:sz="0" w:space="0" w:color="auto"/>
        <w:right w:val="none" w:sz="0" w:space="0" w:color="auto"/>
      </w:divBdr>
      <w:divsChild>
        <w:div w:id="1016729818">
          <w:marLeft w:val="0"/>
          <w:marRight w:val="0"/>
          <w:marTop w:val="0"/>
          <w:marBottom w:val="0"/>
          <w:divBdr>
            <w:top w:val="none" w:sz="0" w:space="0" w:color="auto"/>
            <w:left w:val="none" w:sz="0" w:space="0" w:color="auto"/>
            <w:bottom w:val="none" w:sz="0" w:space="0" w:color="auto"/>
            <w:right w:val="none" w:sz="0" w:space="0" w:color="auto"/>
          </w:divBdr>
        </w:div>
      </w:divsChild>
    </w:div>
    <w:div w:id="407849523">
      <w:bodyDiv w:val="1"/>
      <w:marLeft w:val="360"/>
      <w:marRight w:val="360"/>
      <w:marTop w:val="360"/>
      <w:marBottom w:val="360"/>
      <w:divBdr>
        <w:top w:val="none" w:sz="0" w:space="0" w:color="auto"/>
        <w:left w:val="none" w:sz="0" w:space="0" w:color="auto"/>
        <w:bottom w:val="none" w:sz="0" w:space="0" w:color="auto"/>
        <w:right w:val="none" w:sz="0" w:space="0" w:color="auto"/>
      </w:divBdr>
    </w:div>
    <w:div w:id="422995477">
      <w:bodyDiv w:val="1"/>
      <w:marLeft w:val="0"/>
      <w:marRight w:val="0"/>
      <w:marTop w:val="0"/>
      <w:marBottom w:val="0"/>
      <w:divBdr>
        <w:top w:val="none" w:sz="0" w:space="0" w:color="auto"/>
        <w:left w:val="none" w:sz="0" w:space="0" w:color="auto"/>
        <w:bottom w:val="none" w:sz="0" w:space="0" w:color="auto"/>
        <w:right w:val="none" w:sz="0" w:space="0" w:color="auto"/>
      </w:divBdr>
      <w:divsChild>
        <w:div w:id="1583219329">
          <w:marLeft w:val="0"/>
          <w:marRight w:val="108"/>
          <w:marTop w:val="18"/>
          <w:marBottom w:val="108"/>
          <w:divBdr>
            <w:top w:val="none" w:sz="0" w:space="0" w:color="auto"/>
            <w:left w:val="none" w:sz="0" w:space="0" w:color="auto"/>
            <w:bottom w:val="none" w:sz="0" w:space="0" w:color="auto"/>
            <w:right w:val="none" w:sz="0" w:space="0" w:color="auto"/>
          </w:divBdr>
          <w:divsChild>
            <w:div w:id="8719747">
              <w:marLeft w:val="0"/>
              <w:marRight w:val="0"/>
              <w:marTop w:val="0"/>
              <w:marBottom w:val="0"/>
              <w:divBdr>
                <w:top w:val="none" w:sz="0" w:space="0" w:color="auto"/>
                <w:left w:val="none" w:sz="0" w:space="0" w:color="auto"/>
                <w:bottom w:val="none" w:sz="0" w:space="0" w:color="auto"/>
                <w:right w:val="none" w:sz="0" w:space="0" w:color="auto"/>
              </w:divBdr>
              <w:divsChild>
                <w:div w:id="974288104">
                  <w:marLeft w:val="0"/>
                  <w:marRight w:val="0"/>
                  <w:marTop w:val="0"/>
                  <w:marBottom w:val="0"/>
                  <w:divBdr>
                    <w:top w:val="none" w:sz="0" w:space="0" w:color="auto"/>
                    <w:left w:val="none" w:sz="0" w:space="0" w:color="auto"/>
                    <w:bottom w:val="none" w:sz="0" w:space="0" w:color="auto"/>
                    <w:right w:val="none" w:sz="0" w:space="0" w:color="auto"/>
                  </w:divBdr>
                  <w:divsChild>
                    <w:div w:id="1311134064">
                      <w:marLeft w:val="0"/>
                      <w:marRight w:val="0"/>
                      <w:marTop w:val="0"/>
                      <w:marBottom w:val="0"/>
                      <w:divBdr>
                        <w:top w:val="none" w:sz="0" w:space="0" w:color="auto"/>
                        <w:left w:val="none" w:sz="0" w:space="0" w:color="auto"/>
                        <w:bottom w:val="none" w:sz="0" w:space="0" w:color="auto"/>
                        <w:right w:val="none" w:sz="0" w:space="0" w:color="auto"/>
                      </w:divBdr>
                      <w:divsChild>
                        <w:div w:id="6046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296184">
      <w:bodyDiv w:val="1"/>
      <w:marLeft w:val="0"/>
      <w:marRight w:val="0"/>
      <w:marTop w:val="0"/>
      <w:marBottom w:val="0"/>
      <w:divBdr>
        <w:top w:val="none" w:sz="0" w:space="0" w:color="auto"/>
        <w:left w:val="none" w:sz="0" w:space="0" w:color="auto"/>
        <w:bottom w:val="none" w:sz="0" w:space="0" w:color="auto"/>
        <w:right w:val="none" w:sz="0" w:space="0" w:color="auto"/>
      </w:divBdr>
    </w:div>
    <w:div w:id="441924725">
      <w:bodyDiv w:val="1"/>
      <w:marLeft w:val="0"/>
      <w:marRight w:val="0"/>
      <w:marTop w:val="0"/>
      <w:marBottom w:val="0"/>
      <w:divBdr>
        <w:top w:val="none" w:sz="0" w:space="0" w:color="auto"/>
        <w:left w:val="none" w:sz="0" w:space="0" w:color="auto"/>
        <w:bottom w:val="none" w:sz="0" w:space="0" w:color="auto"/>
        <w:right w:val="none" w:sz="0" w:space="0" w:color="auto"/>
      </w:divBdr>
    </w:div>
    <w:div w:id="453133581">
      <w:bodyDiv w:val="1"/>
      <w:marLeft w:val="0"/>
      <w:marRight w:val="0"/>
      <w:marTop w:val="0"/>
      <w:marBottom w:val="0"/>
      <w:divBdr>
        <w:top w:val="none" w:sz="0" w:space="0" w:color="auto"/>
        <w:left w:val="none" w:sz="0" w:space="0" w:color="auto"/>
        <w:bottom w:val="none" w:sz="0" w:space="0" w:color="auto"/>
        <w:right w:val="none" w:sz="0" w:space="0" w:color="auto"/>
      </w:divBdr>
      <w:divsChild>
        <w:div w:id="1259555526">
          <w:marLeft w:val="0"/>
          <w:marRight w:val="0"/>
          <w:marTop w:val="0"/>
          <w:marBottom w:val="0"/>
          <w:divBdr>
            <w:top w:val="none" w:sz="0" w:space="0" w:color="auto"/>
            <w:left w:val="none" w:sz="0" w:space="0" w:color="auto"/>
            <w:bottom w:val="none" w:sz="0" w:space="0" w:color="auto"/>
            <w:right w:val="none" w:sz="0" w:space="0" w:color="auto"/>
          </w:divBdr>
        </w:div>
      </w:divsChild>
    </w:div>
    <w:div w:id="453907828">
      <w:bodyDiv w:val="1"/>
      <w:marLeft w:val="0"/>
      <w:marRight w:val="0"/>
      <w:marTop w:val="0"/>
      <w:marBottom w:val="0"/>
      <w:divBdr>
        <w:top w:val="none" w:sz="0" w:space="0" w:color="auto"/>
        <w:left w:val="none" w:sz="0" w:space="0" w:color="auto"/>
        <w:bottom w:val="none" w:sz="0" w:space="0" w:color="auto"/>
        <w:right w:val="none" w:sz="0" w:space="0" w:color="auto"/>
      </w:divBdr>
    </w:div>
    <w:div w:id="461119505">
      <w:bodyDiv w:val="1"/>
      <w:marLeft w:val="0"/>
      <w:marRight w:val="0"/>
      <w:marTop w:val="0"/>
      <w:marBottom w:val="0"/>
      <w:divBdr>
        <w:top w:val="none" w:sz="0" w:space="0" w:color="auto"/>
        <w:left w:val="none" w:sz="0" w:space="0" w:color="auto"/>
        <w:bottom w:val="none" w:sz="0" w:space="0" w:color="auto"/>
        <w:right w:val="none" w:sz="0" w:space="0" w:color="auto"/>
      </w:divBdr>
      <w:divsChild>
        <w:div w:id="2096436099">
          <w:marLeft w:val="0"/>
          <w:marRight w:val="108"/>
          <w:marTop w:val="18"/>
          <w:marBottom w:val="108"/>
          <w:divBdr>
            <w:top w:val="none" w:sz="0" w:space="0" w:color="auto"/>
            <w:left w:val="none" w:sz="0" w:space="0" w:color="auto"/>
            <w:bottom w:val="none" w:sz="0" w:space="0" w:color="auto"/>
            <w:right w:val="none" w:sz="0" w:space="0" w:color="auto"/>
          </w:divBdr>
          <w:divsChild>
            <w:div w:id="2102142338">
              <w:marLeft w:val="0"/>
              <w:marRight w:val="0"/>
              <w:marTop w:val="0"/>
              <w:marBottom w:val="0"/>
              <w:divBdr>
                <w:top w:val="none" w:sz="0" w:space="0" w:color="auto"/>
                <w:left w:val="none" w:sz="0" w:space="0" w:color="auto"/>
                <w:bottom w:val="none" w:sz="0" w:space="0" w:color="auto"/>
                <w:right w:val="none" w:sz="0" w:space="0" w:color="auto"/>
              </w:divBdr>
              <w:divsChild>
                <w:div w:id="632829789">
                  <w:marLeft w:val="0"/>
                  <w:marRight w:val="0"/>
                  <w:marTop w:val="0"/>
                  <w:marBottom w:val="0"/>
                  <w:divBdr>
                    <w:top w:val="none" w:sz="0" w:space="0" w:color="auto"/>
                    <w:left w:val="none" w:sz="0" w:space="0" w:color="auto"/>
                    <w:bottom w:val="none" w:sz="0" w:space="0" w:color="auto"/>
                    <w:right w:val="none" w:sz="0" w:space="0" w:color="auto"/>
                  </w:divBdr>
                  <w:divsChild>
                    <w:div w:id="190191785">
                      <w:marLeft w:val="0"/>
                      <w:marRight w:val="0"/>
                      <w:marTop w:val="0"/>
                      <w:marBottom w:val="0"/>
                      <w:divBdr>
                        <w:top w:val="none" w:sz="0" w:space="0" w:color="auto"/>
                        <w:left w:val="none" w:sz="0" w:space="0" w:color="auto"/>
                        <w:bottom w:val="none" w:sz="0" w:space="0" w:color="auto"/>
                        <w:right w:val="none" w:sz="0" w:space="0" w:color="auto"/>
                      </w:divBdr>
                      <w:divsChild>
                        <w:div w:id="2428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150607">
      <w:bodyDiv w:val="1"/>
      <w:marLeft w:val="0"/>
      <w:marRight w:val="0"/>
      <w:marTop w:val="0"/>
      <w:marBottom w:val="0"/>
      <w:divBdr>
        <w:top w:val="none" w:sz="0" w:space="0" w:color="auto"/>
        <w:left w:val="none" w:sz="0" w:space="0" w:color="auto"/>
        <w:bottom w:val="none" w:sz="0" w:space="0" w:color="auto"/>
        <w:right w:val="none" w:sz="0" w:space="0" w:color="auto"/>
      </w:divBdr>
      <w:divsChild>
        <w:div w:id="314452322">
          <w:marLeft w:val="0"/>
          <w:marRight w:val="0"/>
          <w:marTop w:val="0"/>
          <w:marBottom w:val="0"/>
          <w:divBdr>
            <w:top w:val="none" w:sz="0" w:space="0" w:color="auto"/>
            <w:left w:val="none" w:sz="0" w:space="0" w:color="auto"/>
            <w:bottom w:val="none" w:sz="0" w:space="0" w:color="auto"/>
            <w:right w:val="none" w:sz="0" w:space="0" w:color="auto"/>
          </w:divBdr>
          <w:divsChild>
            <w:div w:id="379864072">
              <w:marLeft w:val="0"/>
              <w:marRight w:val="0"/>
              <w:marTop w:val="0"/>
              <w:marBottom w:val="0"/>
              <w:divBdr>
                <w:top w:val="none" w:sz="0" w:space="0" w:color="auto"/>
                <w:left w:val="none" w:sz="0" w:space="0" w:color="auto"/>
                <w:bottom w:val="none" w:sz="0" w:space="0" w:color="auto"/>
                <w:right w:val="none" w:sz="0" w:space="0" w:color="auto"/>
              </w:divBdr>
              <w:divsChild>
                <w:div w:id="14937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9845">
      <w:bodyDiv w:val="1"/>
      <w:marLeft w:val="0"/>
      <w:marRight w:val="0"/>
      <w:marTop w:val="0"/>
      <w:marBottom w:val="0"/>
      <w:divBdr>
        <w:top w:val="none" w:sz="0" w:space="0" w:color="auto"/>
        <w:left w:val="none" w:sz="0" w:space="0" w:color="auto"/>
        <w:bottom w:val="none" w:sz="0" w:space="0" w:color="auto"/>
        <w:right w:val="none" w:sz="0" w:space="0" w:color="auto"/>
      </w:divBdr>
      <w:divsChild>
        <w:div w:id="2140611954">
          <w:marLeft w:val="0"/>
          <w:marRight w:val="0"/>
          <w:marTop w:val="0"/>
          <w:marBottom w:val="0"/>
          <w:divBdr>
            <w:top w:val="none" w:sz="0" w:space="0" w:color="auto"/>
            <w:left w:val="none" w:sz="0" w:space="0" w:color="auto"/>
            <w:bottom w:val="none" w:sz="0" w:space="0" w:color="auto"/>
            <w:right w:val="none" w:sz="0" w:space="0" w:color="auto"/>
          </w:divBdr>
          <w:divsChild>
            <w:div w:id="831719481">
              <w:marLeft w:val="0"/>
              <w:marRight w:val="0"/>
              <w:marTop w:val="0"/>
              <w:marBottom w:val="0"/>
              <w:divBdr>
                <w:top w:val="none" w:sz="0" w:space="0" w:color="auto"/>
                <w:left w:val="none" w:sz="0" w:space="0" w:color="auto"/>
                <w:bottom w:val="none" w:sz="0" w:space="0" w:color="auto"/>
                <w:right w:val="none" w:sz="0" w:space="0" w:color="auto"/>
              </w:divBdr>
              <w:divsChild>
                <w:div w:id="1275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30832">
      <w:bodyDiv w:val="1"/>
      <w:marLeft w:val="360"/>
      <w:marRight w:val="360"/>
      <w:marTop w:val="360"/>
      <w:marBottom w:val="360"/>
      <w:divBdr>
        <w:top w:val="none" w:sz="0" w:space="0" w:color="auto"/>
        <w:left w:val="none" w:sz="0" w:space="0" w:color="auto"/>
        <w:bottom w:val="none" w:sz="0" w:space="0" w:color="auto"/>
        <w:right w:val="none" w:sz="0" w:space="0" w:color="auto"/>
      </w:divBdr>
    </w:div>
    <w:div w:id="501892632">
      <w:bodyDiv w:val="1"/>
      <w:marLeft w:val="0"/>
      <w:marRight w:val="0"/>
      <w:marTop w:val="0"/>
      <w:marBottom w:val="0"/>
      <w:divBdr>
        <w:top w:val="none" w:sz="0" w:space="0" w:color="auto"/>
        <w:left w:val="none" w:sz="0" w:space="0" w:color="auto"/>
        <w:bottom w:val="none" w:sz="0" w:space="0" w:color="auto"/>
        <w:right w:val="none" w:sz="0" w:space="0" w:color="auto"/>
      </w:divBdr>
    </w:div>
    <w:div w:id="530386770">
      <w:bodyDiv w:val="1"/>
      <w:marLeft w:val="0"/>
      <w:marRight w:val="0"/>
      <w:marTop w:val="0"/>
      <w:marBottom w:val="0"/>
      <w:divBdr>
        <w:top w:val="none" w:sz="0" w:space="0" w:color="auto"/>
        <w:left w:val="none" w:sz="0" w:space="0" w:color="auto"/>
        <w:bottom w:val="none" w:sz="0" w:space="0" w:color="auto"/>
        <w:right w:val="none" w:sz="0" w:space="0" w:color="auto"/>
      </w:divBdr>
    </w:div>
    <w:div w:id="534387574">
      <w:bodyDiv w:val="1"/>
      <w:marLeft w:val="0"/>
      <w:marRight w:val="0"/>
      <w:marTop w:val="0"/>
      <w:marBottom w:val="0"/>
      <w:divBdr>
        <w:top w:val="none" w:sz="0" w:space="0" w:color="auto"/>
        <w:left w:val="none" w:sz="0" w:space="0" w:color="auto"/>
        <w:bottom w:val="none" w:sz="0" w:space="0" w:color="auto"/>
        <w:right w:val="none" w:sz="0" w:space="0" w:color="auto"/>
      </w:divBdr>
    </w:div>
    <w:div w:id="535384827">
      <w:bodyDiv w:val="1"/>
      <w:marLeft w:val="0"/>
      <w:marRight w:val="0"/>
      <w:marTop w:val="0"/>
      <w:marBottom w:val="0"/>
      <w:divBdr>
        <w:top w:val="none" w:sz="0" w:space="0" w:color="auto"/>
        <w:left w:val="none" w:sz="0" w:space="0" w:color="auto"/>
        <w:bottom w:val="none" w:sz="0" w:space="0" w:color="auto"/>
        <w:right w:val="none" w:sz="0" w:space="0" w:color="auto"/>
      </w:divBdr>
      <w:divsChild>
        <w:div w:id="1137725433">
          <w:marLeft w:val="0"/>
          <w:marRight w:val="108"/>
          <w:marTop w:val="18"/>
          <w:marBottom w:val="108"/>
          <w:divBdr>
            <w:top w:val="none" w:sz="0" w:space="0" w:color="auto"/>
            <w:left w:val="none" w:sz="0" w:space="0" w:color="auto"/>
            <w:bottom w:val="none" w:sz="0" w:space="0" w:color="auto"/>
            <w:right w:val="none" w:sz="0" w:space="0" w:color="auto"/>
          </w:divBdr>
          <w:divsChild>
            <w:div w:id="181019228">
              <w:marLeft w:val="0"/>
              <w:marRight w:val="0"/>
              <w:marTop w:val="0"/>
              <w:marBottom w:val="0"/>
              <w:divBdr>
                <w:top w:val="none" w:sz="0" w:space="0" w:color="auto"/>
                <w:left w:val="none" w:sz="0" w:space="0" w:color="auto"/>
                <w:bottom w:val="none" w:sz="0" w:space="0" w:color="auto"/>
                <w:right w:val="none" w:sz="0" w:space="0" w:color="auto"/>
              </w:divBdr>
              <w:divsChild>
                <w:div w:id="326440545">
                  <w:marLeft w:val="0"/>
                  <w:marRight w:val="0"/>
                  <w:marTop w:val="0"/>
                  <w:marBottom w:val="0"/>
                  <w:divBdr>
                    <w:top w:val="none" w:sz="0" w:space="0" w:color="auto"/>
                    <w:left w:val="none" w:sz="0" w:space="0" w:color="auto"/>
                    <w:bottom w:val="none" w:sz="0" w:space="0" w:color="auto"/>
                    <w:right w:val="none" w:sz="0" w:space="0" w:color="auto"/>
                  </w:divBdr>
                  <w:divsChild>
                    <w:div w:id="1452020711">
                      <w:marLeft w:val="0"/>
                      <w:marRight w:val="0"/>
                      <w:marTop w:val="0"/>
                      <w:marBottom w:val="0"/>
                      <w:divBdr>
                        <w:top w:val="none" w:sz="0" w:space="0" w:color="auto"/>
                        <w:left w:val="none" w:sz="0" w:space="0" w:color="auto"/>
                        <w:bottom w:val="none" w:sz="0" w:space="0" w:color="auto"/>
                        <w:right w:val="none" w:sz="0" w:space="0" w:color="auto"/>
                      </w:divBdr>
                      <w:divsChild>
                        <w:div w:id="1087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6604">
      <w:bodyDiv w:val="1"/>
      <w:marLeft w:val="0"/>
      <w:marRight w:val="0"/>
      <w:marTop w:val="0"/>
      <w:marBottom w:val="0"/>
      <w:divBdr>
        <w:top w:val="none" w:sz="0" w:space="0" w:color="auto"/>
        <w:left w:val="none" w:sz="0" w:space="0" w:color="auto"/>
        <w:bottom w:val="none" w:sz="0" w:space="0" w:color="auto"/>
        <w:right w:val="none" w:sz="0" w:space="0" w:color="auto"/>
      </w:divBdr>
    </w:div>
    <w:div w:id="545064373">
      <w:bodyDiv w:val="1"/>
      <w:marLeft w:val="0"/>
      <w:marRight w:val="0"/>
      <w:marTop w:val="0"/>
      <w:marBottom w:val="0"/>
      <w:divBdr>
        <w:top w:val="none" w:sz="0" w:space="0" w:color="auto"/>
        <w:left w:val="none" w:sz="0" w:space="0" w:color="auto"/>
        <w:bottom w:val="none" w:sz="0" w:space="0" w:color="auto"/>
        <w:right w:val="none" w:sz="0" w:space="0" w:color="auto"/>
      </w:divBdr>
      <w:divsChild>
        <w:div w:id="604382258">
          <w:marLeft w:val="0"/>
          <w:marRight w:val="108"/>
          <w:marTop w:val="18"/>
          <w:marBottom w:val="108"/>
          <w:divBdr>
            <w:top w:val="none" w:sz="0" w:space="0" w:color="auto"/>
            <w:left w:val="none" w:sz="0" w:space="0" w:color="auto"/>
            <w:bottom w:val="none" w:sz="0" w:space="0" w:color="auto"/>
            <w:right w:val="none" w:sz="0" w:space="0" w:color="auto"/>
          </w:divBdr>
          <w:divsChild>
            <w:div w:id="731776088">
              <w:marLeft w:val="0"/>
              <w:marRight w:val="0"/>
              <w:marTop w:val="0"/>
              <w:marBottom w:val="0"/>
              <w:divBdr>
                <w:top w:val="none" w:sz="0" w:space="0" w:color="auto"/>
                <w:left w:val="none" w:sz="0" w:space="0" w:color="auto"/>
                <w:bottom w:val="none" w:sz="0" w:space="0" w:color="auto"/>
                <w:right w:val="none" w:sz="0" w:space="0" w:color="auto"/>
              </w:divBdr>
              <w:divsChild>
                <w:div w:id="139999487">
                  <w:marLeft w:val="0"/>
                  <w:marRight w:val="0"/>
                  <w:marTop w:val="0"/>
                  <w:marBottom w:val="0"/>
                  <w:divBdr>
                    <w:top w:val="none" w:sz="0" w:space="0" w:color="auto"/>
                    <w:left w:val="none" w:sz="0" w:space="0" w:color="auto"/>
                    <w:bottom w:val="none" w:sz="0" w:space="0" w:color="auto"/>
                    <w:right w:val="none" w:sz="0" w:space="0" w:color="auto"/>
                  </w:divBdr>
                  <w:divsChild>
                    <w:div w:id="541207874">
                      <w:marLeft w:val="0"/>
                      <w:marRight w:val="0"/>
                      <w:marTop w:val="0"/>
                      <w:marBottom w:val="0"/>
                      <w:divBdr>
                        <w:top w:val="none" w:sz="0" w:space="0" w:color="auto"/>
                        <w:left w:val="none" w:sz="0" w:space="0" w:color="auto"/>
                        <w:bottom w:val="none" w:sz="0" w:space="0" w:color="auto"/>
                        <w:right w:val="none" w:sz="0" w:space="0" w:color="auto"/>
                      </w:divBdr>
                      <w:divsChild>
                        <w:div w:id="12009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82797">
      <w:bodyDiv w:val="1"/>
      <w:marLeft w:val="0"/>
      <w:marRight w:val="0"/>
      <w:marTop w:val="0"/>
      <w:marBottom w:val="0"/>
      <w:divBdr>
        <w:top w:val="none" w:sz="0" w:space="0" w:color="auto"/>
        <w:left w:val="none" w:sz="0" w:space="0" w:color="auto"/>
        <w:bottom w:val="none" w:sz="0" w:space="0" w:color="auto"/>
        <w:right w:val="none" w:sz="0" w:space="0" w:color="auto"/>
      </w:divBdr>
    </w:div>
    <w:div w:id="556208462">
      <w:bodyDiv w:val="1"/>
      <w:marLeft w:val="0"/>
      <w:marRight w:val="0"/>
      <w:marTop w:val="0"/>
      <w:marBottom w:val="0"/>
      <w:divBdr>
        <w:top w:val="none" w:sz="0" w:space="0" w:color="auto"/>
        <w:left w:val="none" w:sz="0" w:space="0" w:color="auto"/>
        <w:bottom w:val="none" w:sz="0" w:space="0" w:color="auto"/>
        <w:right w:val="none" w:sz="0" w:space="0" w:color="auto"/>
      </w:divBdr>
    </w:div>
    <w:div w:id="561915709">
      <w:bodyDiv w:val="1"/>
      <w:marLeft w:val="0"/>
      <w:marRight w:val="0"/>
      <w:marTop w:val="0"/>
      <w:marBottom w:val="0"/>
      <w:divBdr>
        <w:top w:val="none" w:sz="0" w:space="0" w:color="auto"/>
        <w:left w:val="none" w:sz="0" w:space="0" w:color="auto"/>
        <w:bottom w:val="none" w:sz="0" w:space="0" w:color="auto"/>
        <w:right w:val="none" w:sz="0" w:space="0" w:color="auto"/>
      </w:divBdr>
    </w:div>
    <w:div w:id="570776672">
      <w:bodyDiv w:val="1"/>
      <w:marLeft w:val="0"/>
      <w:marRight w:val="0"/>
      <w:marTop w:val="0"/>
      <w:marBottom w:val="0"/>
      <w:divBdr>
        <w:top w:val="none" w:sz="0" w:space="0" w:color="auto"/>
        <w:left w:val="none" w:sz="0" w:space="0" w:color="auto"/>
        <w:bottom w:val="none" w:sz="0" w:space="0" w:color="auto"/>
        <w:right w:val="none" w:sz="0" w:space="0" w:color="auto"/>
      </w:divBdr>
    </w:div>
    <w:div w:id="587927256">
      <w:bodyDiv w:val="1"/>
      <w:marLeft w:val="0"/>
      <w:marRight w:val="0"/>
      <w:marTop w:val="0"/>
      <w:marBottom w:val="0"/>
      <w:divBdr>
        <w:top w:val="none" w:sz="0" w:space="0" w:color="auto"/>
        <w:left w:val="none" w:sz="0" w:space="0" w:color="auto"/>
        <w:bottom w:val="none" w:sz="0" w:space="0" w:color="auto"/>
        <w:right w:val="none" w:sz="0" w:space="0" w:color="auto"/>
      </w:divBdr>
    </w:div>
    <w:div w:id="594288810">
      <w:bodyDiv w:val="1"/>
      <w:marLeft w:val="0"/>
      <w:marRight w:val="0"/>
      <w:marTop w:val="0"/>
      <w:marBottom w:val="0"/>
      <w:divBdr>
        <w:top w:val="none" w:sz="0" w:space="0" w:color="auto"/>
        <w:left w:val="none" w:sz="0" w:space="0" w:color="auto"/>
        <w:bottom w:val="none" w:sz="0" w:space="0" w:color="auto"/>
        <w:right w:val="none" w:sz="0" w:space="0" w:color="auto"/>
      </w:divBdr>
    </w:div>
    <w:div w:id="599216154">
      <w:bodyDiv w:val="1"/>
      <w:marLeft w:val="0"/>
      <w:marRight w:val="0"/>
      <w:marTop w:val="0"/>
      <w:marBottom w:val="0"/>
      <w:divBdr>
        <w:top w:val="none" w:sz="0" w:space="0" w:color="auto"/>
        <w:left w:val="none" w:sz="0" w:space="0" w:color="auto"/>
        <w:bottom w:val="none" w:sz="0" w:space="0" w:color="auto"/>
        <w:right w:val="none" w:sz="0" w:space="0" w:color="auto"/>
      </w:divBdr>
    </w:div>
    <w:div w:id="602421339">
      <w:bodyDiv w:val="1"/>
      <w:marLeft w:val="0"/>
      <w:marRight w:val="0"/>
      <w:marTop w:val="0"/>
      <w:marBottom w:val="0"/>
      <w:divBdr>
        <w:top w:val="none" w:sz="0" w:space="0" w:color="auto"/>
        <w:left w:val="none" w:sz="0" w:space="0" w:color="auto"/>
        <w:bottom w:val="none" w:sz="0" w:space="0" w:color="auto"/>
        <w:right w:val="none" w:sz="0" w:space="0" w:color="auto"/>
      </w:divBdr>
      <w:divsChild>
        <w:div w:id="1465385805">
          <w:marLeft w:val="0"/>
          <w:marRight w:val="0"/>
          <w:marTop w:val="0"/>
          <w:marBottom w:val="0"/>
          <w:divBdr>
            <w:top w:val="none" w:sz="0" w:space="0" w:color="auto"/>
            <w:left w:val="none" w:sz="0" w:space="0" w:color="auto"/>
            <w:bottom w:val="none" w:sz="0" w:space="0" w:color="auto"/>
            <w:right w:val="none" w:sz="0" w:space="0" w:color="auto"/>
          </w:divBdr>
        </w:div>
      </w:divsChild>
    </w:div>
    <w:div w:id="602885745">
      <w:bodyDiv w:val="1"/>
      <w:marLeft w:val="0"/>
      <w:marRight w:val="0"/>
      <w:marTop w:val="0"/>
      <w:marBottom w:val="0"/>
      <w:divBdr>
        <w:top w:val="none" w:sz="0" w:space="0" w:color="auto"/>
        <w:left w:val="none" w:sz="0" w:space="0" w:color="auto"/>
        <w:bottom w:val="none" w:sz="0" w:space="0" w:color="auto"/>
        <w:right w:val="none" w:sz="0" w:space="0" w:color="auto"/>
      </w:divBdr>
      <w:divsChild>
        <w:div w:id="1724908919">
          <w:marLeft w:val="0"/>
          <w:marRight w:val="108"/>
          <w:marTop w:val="18"/>
          <w:marBottom w:val="108"/>
          <w:divBdr>
            <w:top w:val="none" w:sz="0" w:space="0" w:color="auto"/>
            <w:left w:val="none" w:sz="0" w:space="0" w:color="auto"/>
            <w:bottom w:val="none" w:sz="0" w:space="0" w:color="auto"/>
            <w:right w:val="none" w:sz="0" w:space="0" w:color="auto"/>
          </w:divBdr>
          <w:divsChild>
            <w:div w:id="647054090">
              <w:marLeft w:val="0"/>
              <w:marRight w:val="0"/>
              <w:marTop w:val="0"/>
              <w:marBottom w:val="0"/>
              <w:divBdr>
                <w:top w:val="none" w:sz="0" w:space="0" w:color="auto"/>
                <w:left w:val="none" w:sz="0" w:space="0" w:color="auto"/>
                <w:bottom w:val="none" w:sz="0" w:space="0" w:color="auto"/>
                <w:right w:val="none" w:sz="0" w:space="0" w:color="auto"/>
              </w:divBdr>
              <w:divsChild>
                <w:div w:id="444231755">
                  <w:marLeft w:val="0"/>
                  <w:marRight w:val="0"/>
                  <w:marTop w:val="0"/>
                  <w:marBottom w:val="0"/>
                  <w:divBdr>
                    <w:top w:val="none" w:sz="0" w:space="0" w:color="auto"/>
                    <w:left w:val="none" w:sz="0" w:space="0" w:color="auto"/>
                    <w:bottom w:val="none" w:sz="0" w:space="0" w:color="auto"/>
                    <w:right w:val="none" w:sz="0" w:space="0" w:color="auto"/>
                  </w:divBdr>
                  <w:divsChild>
                    <w:div w:id="2088837910">
                      <w:marLeft w:val="0"/>
                      <w:marRight w:val="0"/>
                      <w:marTop w:val="0"/>
                      <w:marBottom w:val="0"/>
                      <w:divBdr>
                        <w:top w:val="none" w:sz="0" w:space="0" w:color="auto"/>
                        <w:left w:val="none" w:sz="0" w:space="0" w:color="auto"/>
                        <w:bottom w:val="none" w:sz="0" w:space="0" w:color="auto"/>
                        <w:right w:val="none" w:sz="0" w:space="0" w:color="auto"/>
                      </w:divBdr>
                      <w:divsChild>
                        <w:div w:id="8209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267145">
      <w:bodyDiv w:val="1"/>
      <w:marLeft w:val="0"/>
      <w:marRight w:val="0"/>
      <w:marTop w:val="0"/>
      <w:marBottom w:val="0"/>
      <w:divBdr>
        <w:top w:val="none" w:sz="0" w:space="0" w:color="auto"/>
        <w:left w:val="none" w:sz="0" w:space="0" w:color="auto"/>
        <w:bottom w:val="none" w:sz="0" w:space="0" w:color="auto"/>
        <w:right w:val="none" w:sz="0" w:space="0" w:color="auto"/>
      </w:divBdr>
    </w:div>
    <w:div w:id="620302211">
      <w:bodyDiv w:val="1"/>
      <w:marLeft w:val="0"/>
      <w:marRight w:val="0"/>
      <w:marTop w:val="0"/>
      <w:marBottom w:val="0"/>
      <w:divBdr>
        <w:top w:val="none" w:sz="0" w:space="0" w:color="auto"/>
        <w:left w:val="none" w:sz="0" w:space="0" w:color="auto"/>
        <w:bottom w:val="none" w:sz="0" w:space="0" w:color="auto"/>
        <w:right w:val="none" w:sz="0" w:space="0" w:color="auto"/>
      </w:divBdr>
      <w:divsChild>
        <w:div w:id="1812869114">
          <w:marLeft w:val="0"/>
          <w:marRight w:val="0"/>
          <w:marTop w:val="0"/>
          <w:marBottom w:val="0"/>
          <w:divBdr>
            <w:top w:val="none" w:sz="0" w:space="0" w:color="auto"/>
            <w:left w:val="none" w:sz="0" w:space="0" w:color="auto"/>
            <w:bottom w:val="none" w:sz="0" w:space="0" w:color="auto"/>
            <w:right w:val="none" w:sz="0" w:space="0" w:color="auto"/>
          </w:divBdr>
          <w:divsChild>
            <w:div w:id="1438519246">
              <w:marLeft w:val="0"/>
              <w:marRight w:val="0"/>
              <w:marTop w:val="0"/>
              <w:marBottom w:val="0"/>
              <w:divBdr>
                <w:top w:val="none" w:sz="0" w:space="0" w:color="auto"/>
                <w:left w:val="none" w:sz="0" w:space="0" w:color="auto"/>
                <w:bottom w:val="none" w:sz="0" w:space="0" w:color="auto"/>
                <w:right w:val="none" w:sz="0" w:space="0" w:color="auto"/>
              </w:divBdr>
              <w:divsChild>
                <w:div w:id="170797992">
                  <w:marLeft w:val="0"/>
                  <w:marRight w:val="0"/>
                  <w:marTop w:val="0"/>
                  <w:marBottom w:val="0"/>
                  <w:divBdr>
                    <w:top w:val="none" w:sz="0" w:space="0" w:color="auto"/>
                    <w:left w:val="none" w:sz="0" w:space="0" w:color="auto"/>
                    <w:bottom w:val="none" w:sz="0" w:space="0" w:color="auto"/>
                    <w:right w:val="none" w:sz="0" w:space="0" w:color="auto"/>
                  </w:divBdr>
                  <w:divsChild>
                    <w:div w:id="1395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01139">
      <w:bodyDiv w:val="1"/>
      <w:marLeft w:val="0"/>
      <w:marRight w:val="0"/>
      <w:marTop w:val="0"/>
      <w:marBottom w:val="0"/>
      <w:divBdr>
        <w:top w:val="none" w:sz="0" w:space="0" w:color="auto"/>
        <w:left w:val="none" w:sz="0" w:space="0" w:color="auto"/>
        <w:bottom w:val="none" w:sz="0" w:space="0" w:color="auto"/>
        <w:right w:val="none" w:sz="0" w:space="0" w:color="auto"/>
      </w:divBdr>
      <w:divsChild>
        <w:div w:id="1952667155">
          <w:marLeft w:val="0"/>
          <w:marRight w:val="0"/>
          <w:marTop w:val="0"/>
          <w:marBottom w:val="0"/>
          <w:divBdr>
            <w:top w:val="none" w:sz="0" w:space="0" w:color="auto"/>
            <w:left w:val="none" w:sz="0" w:space="0" w:color="auto"/>
            <w:bottom w:val="none" w:sz="0" w:space="0" w:color="auto"/>
            <w:right w:val="none" w:sz="0" w:space="0" w:color="auto"/>
          </w:divBdr>
        </w:div>
      </w:divsChild>
    </w:div>
    <w:div w:id="643126133">
      <w:bodyDiv w:val="1"/>
      <w:marLeft w:val="0"/>
      <w:marRight w:val="0"/>
      <w:marTop w:val="0"/>
      <w:marBottom w:val="0"/>
      <w:divBdr>
        <w:top w:val="none" w:sz="0" w:space="0" w:color="auto"/>
        <w:left w:val="none" w:sz="0" w:space="0" w:color="auto"/>
        <w:bottom w:val="none" w:sz="0" w:space="0" w:color="auto"/>
        <w:right w:val="none" w:sz="0" w:space="0" w:color="auto"/>
      </w:divBdr>
      <w:divsChild>
        <w:div w:id="288824856">
          <w:marLeft w:val="0"/>
          <w:marRight w:val="0"/>
          <w:marTop w:val="0"/>
          <w:marBottom w:val="0"/>
          <w:divBdr>
            <w:top w:val="none" w:sz="0" w:space="0" w:color="auto"/>
            <w:left w:val="none" w:sz="0" w:space="0" w:color="auto"/>
            <w:bottom w:val="none" w:sz="0" w:space="0" w:color="auto"/>
            <w:right w:val="none" w:sz="0" w:space="0" w:color="auto"/>
          </w:divBdr>
        </w:div>
        <w:div w:id="136267281">
          <w:marLeft w:val="0"/>
          <w:marRight w:val="0"/>
          <w:marTop w:val="0"/>
          <w:marBottom w:val="0"/>
          <w:divBdr>
            <w:top w:val="none" w:sz="0" w:space="0" w:color="auto"/>
            <w:left w:val="none" w:sz="0" w:space="0" w:color="auto"/>
            <w:bottom w:val="none" w:sz="0" w:space="0" w:color="auto"/>
            <w:right w:val="none" w:sz="0" w:space="0" w:color="auto"/>
          </w:divBdr>
        </w:div>
      </w:divsChild>
    </w:div>
    <w:div w:id="644163018">
      <w:bodyDiv w:val="1"/>
      <w:marLeft w:val="0"/>
      <w:marRight w:val="0"/>
      <w:marTop w:val="0"/>
      <w:marBottom w:val="0"/>
      <w:divBdr>
        <w:top w:val="none" w:sz="0" w:space="0" w:color="auto"/>
        <w:left w:val="none" w:sz="0" w:space="0" w:color="auto"/>
        <w:bottom w:val="none" w:sz="0" w:space="0" w:color="auto"/>
        <w:right w:val="none" w:sz="0" w:space="0" w:color="auto"/>
      </w:divBdr>
    </w:div>
    <w:div w:id="654531893">
      <w:bodyDiv w:val="1"/>
      <w:marLeft w:val="0"/>
      <w:marRight w:val="0"/>
      <w:marTop w:val="0"/>
      <w:marBottom w:val="0"/>
      <w:divBdr>
        <w:top w:val="none" w:sz="0" w:space="0" w:color="auto"/>
        <w:left w:val="none" w:sz="0" w:space="0" w:color="auto"/>
        <w:bottom w:val="none" w:sz="0" w:space="0" w:color="auto"/>
        <w:right w:val="none" w:sz="0" w:space="0" w:color="auto"/>
      </w:divBdr>
      <w:divsChild>
        <w:div w:id="1613433964">
          <w:marLeft w:val="0"/>
          <w:marRight w:val="0"/>
          <w:marTop w:val="0"/>
          <w:marBottom w:val="0"/>
          <w:divBdr>
            <w:top w:val="none" w:sz="0" w:space="0" w:color="auto"/>
            <w:left w:val="none" w:sz="0" w:space="0" w:color="auto"/>
            <w:bottom w:val="none" w:sz="0" w:space="0" w:color="auto"/>
            <w:right w:val="none" w:sz="0" w:space="0" w:color="auto"/>
          </w:divBdr>
          <w:divsChild>
            <w:div w:id="1573000986">
              <w:marLeft w:val="0"/>
              <w:marRight w:val="0"/>
              <w:marTop w:val="0"/>
              <w:marBottom w:val="0"/>
              <w:divBdr>
                <w:top w:val="none" w:sz="0" w:space="0" w:color="auto"/>
                <w:left w:val="none" w:sz="0" w:space="0" w:color="auto"/>
                <w:bottom w:val="none" w:sz="0" w:space="0" w:color="auto"/>
                <w:right w:val="none" w:sz="0" w:space="0" w:color="auto"/>
              </w:divBdr>
              <w:divsChild>
                <w:div w:id="590509513">
                  <w:marLeft w:val="0"/>
                  <w:marRight w:val="0"/>
                  <w:marTop w:val="0"/>
                  <w:marBottom w:val="0"/>
                  <w:divBdr>
                    <w:top w:val="none" w:sz="0" w:space="0" w:color="auto"/>
                    <w:left w:val="none" w:sz="0" w:space="0" w:color="auto"/>
                    <w:bottom w:val="none" w:sz="0" w:space="0" w:color="auto"/>
                    <w:right w:val="none" w:sz="0" w:space="0" w:color="auto"/>
                  </w:divBdr>
                  <w:divsChild>
                    <w:div w:id="19474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573317">
      <w:bodyDiv w:val="1"/>
      <w:marLeft w:val="0"/>
      <w:marRight w:val="0"/>
      <w:marTop w:val="0"/>
      <w:marBottom w:val="0"/>
      <w:divBdr>
        <w:top w:val="none" w:sz="0" w:space="0" w:color="auto"/>
        <w:left w:val="none" w:sz="0" w:space="0" w:color="auto"/>
        <w:bottom w:val="none" w:sz="0" w:space="0" w:color="auto"/>
        <w:right w:val="none" w:sz="0" w:space="0" w:color="auto"/>
      </w:divBdr>
      <w:divsChild>
        <w:div w:id="641085988">
          <w:marLeft w:val="0"/>
          <w:marRight w:val="0"/>
          <w:marTop w:val="0"/>
          <w:marBottom w:val="0"/>
          <w:divBdr>
            <w:top w:val="none" w:sz="0" w:space="0" w:color="auto"/>
            <w:left w:val="none" w:sz="0" w:space="0" w:color="auto"/>
            <w:bottom w:val="none" w:sz="0" w:space="0" w:color="auto"/>
            <w:right w:val="none" w:sz="0" w:space="0" w:color="auto"/>
          </w:divBdr>
          <w:divsChild>
            <w:div w:id="2125155484">
              <w:marLeft w:val="0"/>
              <w:marRight w:val="0"/>
              <w:marTop w:val="0"/>
              <w:marBottom w:val="0"/>
              <w:divBdr>
                <w:top w:val="none" w:sz="0" w:space="0" w:color="auto"/>
                <w:left w:val="none" w:sz="0" w:space="0" w:color="auto"/>
                <w:bottom w:val="none" w:sz="0" w:space="0" w:color="auto"/>
                <w:right w:val="none" w:sz="0" w:space="0" w:color="auto"/>
              </w:divBdr>
              <w:divsChild>
                <w:div w:id="17339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6871">
      <w:bodyDiv w:val="1"/>
      <w:marLeft w:val="0"/>
      <w:marRight w:val="0"/>
      <w:marTop w:val="0"/>
      <w:marBottom w:val="0"/>
      <w:divBdr>
        <w:top w:val="none" w:sz="0" w:space="0" w:color="auto"/>
        <w:left w:val="none" w:sz="0" w:space="0" w:color="auto"/>
        <w:bottom w:val="none" w:sz="0" w:space="0" w:color="auto"/>
        <w:right w:val="none" w:sz="0" w:space="0" w:color="auto"/>
      </w:divBdr>
    </w:div>
    <w:div w:id="662003940">
      <w:bodyDiv w:val="1"/>
      <w:marLeft w:val="0"/>
      <w:marRight w:val="0"/>
      <w:marTop w:val="0"/>
      <w:marBottom w:val="0"/>
      <w:divBdr>
        <w:top w:val="none" w:sz="0" w:space="0" w:color="auto"/>
        <w:left w:val="none" w:sz="0" w:space="0" w:color="auto"/>
        <w:bottom w:val="none" w:sz="0" w:space="0" w:color="auto"/>
        <w:right w:val="none" w:sz="0" w:space="0" w:color="auto"/>
      </w:divBdr>
      <w:divsChild>
        <w:div w:id="1919245336">
          <w:marLeft w:val="0"/>
          <w:marRight w:val="108"/>
          <w:marTop w:val="18"/>
          <w:marBottom w:val="108"/>
          <w:divBdr>
            <w:top w:val="none" w:sz="0" w:space="0" w:color="auto"/>
            <w:left w:val="none" w:sz="0" w:space="0" w:color="auto"/>
            <w:bottom w:val="none" w:sz="0" w:space="0" w:color="auto"/>
            <w:right w:val="none" w:sz="0" w:space="0" w:color="auto"/>
          </w:divBdr>
          <w:divsChild>
            <w:div w:id="790899314">
              <w:marLeft w:val="0"/>
              <w:marRight w:val="0"/>
              <w:marTop w:val="0"/>
              <w:marBottom w:val="0"/>
              <w:divBdr>
                <w:top w:val="none" w:sz="0" w:space="0" w:color="auto"/>
                <w:left w:val="none" w:sz="0" w:space="0" w:color="auto"/>
                <w:bottom w:val="none" w:sz="0" w:space="0" w:color="auto"/>
                <w:right w:val="none" w:sz="0" w:space="0" w:color="auto"/>
              </w:divBdr>
              <w:divsChild>
                <w:div w:id="131990119">
                  <w:marLeft w:val="0"/>
                  <w:marRight w:val="0"/>
                  <w:marTop w:val="0"/>
                  <w:marBottom w:val="0"/>
                  <w:divBdr>
                    <w:top w:val="none" w:sz="0" w:space="0" w:color="auto"/>
                    <w:left w:val="none" w:sz="0" w:space="0" w:color="auto"/>
                    <w:bottom w:val="none" w:sz="0" w:space="0" w:color="auto"/>
                    <w:right w:val="none" w:sz="0" w:space="0" w:color="auto"/>
                  </w:divBdr>
                  <w:divsChild>
                    <w:div w:id="1408842278">
                      <w:marLeft w:val="0"/>
                      <w:marRight w:val="0"/>
                      <w:marTop w:val="0"/>
                      <w:marBottom w:val="0"/>
                      <w:divBdr>
                        <w:top w:val="none" w:sz="0" w:space="0" w:color="auto"/>
                        <w:left w:val="none" w:sz="0" w:space="0" w:color="auto"/>
                        <w:bottom w:val="none" w:sz="0" w:space="0" w:color="auto"/>
                        <w:right w:val="none" w:sz="0" w:space="0" w:color="auto"/>
                      </w:divBdr>
                      <w:divsChild>
                        <w:div w:id="4938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357012">
      <w:bodyDiv w:val="1"/>
      <w:marLeft w:val="0"/>
      <w:marRight w:val="0"/>
      <w:marTop w:val="0"/>
      <w:marBottom w:val="0"/>
      <w:divBdr>
        <w:top w:val="none" w:sz="0" w:space="0" w:color="auto"/>
        <w:left w:val="none" w:sz="0" w:space="0" w:color="auto"/>
        <w:bottom w:val="none" w:sz="0" w:space="0" w:color="auto"/>
        <w:right w:val="none" w:sz="0" w:space="0" w:color="auto"/>
      </w:divBdr>
    </w:div>
    <w:div w:id="664435097">
      <w:bodyDiv w:val="1"/>
      <w:marLeft w:val="0"/>
      <w:marRight w:val="0"/>
      <w:marTop w:val="0"/>
      <w:marBottom w:val="0"/>
      <w:divBdr>
        <w:top w:val="none" w:sz="0" w:space="0" w:color="auto"/>
        <w:left w:val="none" w:sz="0" w:space="0" w:color="auto"/>
        <w:bottom w:val="none" w:sz="0" w:space="0" w:color="auto"/>
        <w:right w:val="none" w:sz="0" w:space="0" w:color="auto"/>
      </w:divBdr>
    </w:div>
    <w:div w:id="666320550">
      <w:bodyDiv w:val="1"/>
      <w:marLeft w:val="0"/>
      <w:marRight w:val="0"/>
      <w:marTop w:val="0"/>
      <w:marBottom w:val="0"/>
      <w:divBdr>
        <w:top w:val="none" w:sz="0" w:space="0" w:color="auto"/>
        <w:left w:val="none" w:sz="0" w:space="0" w:color="auto"/>
        <w:bottom w:val="none" w:sz="0" w:space="0" w:color="auto"/>
        <w:right w:val="none" w:sz="0" w:space="0" w:color="auto"/>
      </w:divBdr>
    </w:div>
    <w:div w:id="668604339">
      <w:bodyDiv w:val="1"/>
      <w:marLeft w:val="0"/>
      <w:marRight w:val="0"/>
      <w:marTop w:val="0"/>
      <w:marBottom w:val="0"/>
      <w:divBdr>
        <w:top w:val="none" w:sz="0" w:space="0" w:color="auto"/>
        <w:left w:val="none" w:sz="0" w:space="0" w:color="auto"/>
        <w:bottom w:val="none" w:sz="0" w:space="0" w:color="auto"/>
        <w:right w:val="none" w:sz="0" w:space="0" w:color="auto"/>
      </w:divBdr>
    </w:div>
    <w:div w:id="674455710">
      <w:bodyDiv w:val="1"/>
      <w:marLeft w:val="0"/>
      <w:marRight w:val="0"/>
      <w:marTop w:val="0"/>
      <w:marBottom w:val="0"/>
      <w:divBdr>
        <w:top w:val="none" w:sz="0" w:space="0" w:color="auto"/>
        <w:left w:val="none" w:sz="0" w:space="0" w:color="auto"/>
        <w:bottom w:val="none" w:sz="0" w:space="0" w:color="auto"/>
        <w:right w:val="none" w:sz="0" w:space="0" w:color="auto"/>
      </w:divBdr>
      <w:divsChild>
        <w:div w:id="268779609">
          <w:marLeft w:val="0"/>
          <w:marRight w:val="0"/>
          <w:marTop w:val="0"/>
          <w:marBottom w:val="0"/>
          <w:divBdr>
            <w:top w:val="none" w:sz="0" w:space="0" w:color="auto"/>
            <w:left w:val="none" w:sz="0" w:space="0" w:color="auto"/>
            <w:bottom w:val="none" w:sz="0" w:space="0" w:color="auto"/>
            <w:right w:val="none" w:sz="0" w:space="0" w:color="auto"/>
          </w:divBdr>
        </w:div>
      </w:divsChild>
    </w:div>
    <w:div w:id="674651740">
      <w:bodyDiv w:val="1"/>
      <w:marLeft w:val="0"/>
      <w:marRight w:val="0"/>
      <w:marTop w:val="0"/>
      <w:marBottom w:val="0"/>
      <w:divBdr>
        <w:top w:val="none" w:sz="0" w:space="0" w:color="auto"/>
        <w:left w:val="none" w:sz="0" w:space="0" w:color="auto"/>
        <w:bottom w:val="none" w:sz="0" w:space="0" w:color="auto"/>
        <w:right w:val="none" w:sz="0" w:space="0" w:color="auto"/>
      </w:divBdr>
    </w:div>
    <w:div w:id="679501778">
      <w:bodyDiv w:val="1"/>
      <w:marLeft w:val="0"/>
      <w:marRight w:val="0"/>
      <w:marTop w:val="0"/>
      <w:marBottom w:val="0"/>
      <w:divBdr>
        <w:top w:val="none" w:sz="0" w:space="0" w:color="auto"/>
        <w:left w:val="none" w:sz="0" w:space="0" w:color="auto"/>
        <w:bottom w:val="none" w:sz="0" w:space="0" w:color="auto"/>
        <w:right w:val="none" w:sz="0" w:space="0" w:color="auto"/>
      </w:divBdr>
      <w:divsChild>
        <w:div w:id="292637722">
          <w:marLeft w:val="0"/>
          <w:marRight w:val="0"/>
          <w:marTop w:val="0"/>
          <w:marBottom w:val="0"/>
          <w:divBdr>
            <w:top w:val="none" w:sz="0" w:space="0" w:color="auto"/>
            <w:left w:val="none" w:sz="0" w:space="0" w:color="auto"/>
            <w:bottom w:val="none" w:sz="0" w:space="0" w:color="auto"/>
            <w:right w:val="none" w:sz="0" w:space="0" w:color="auto"/>
          </w:divBdr>
        </w:div>
      </w:divsChild>
    </w:div>
    <w:div w:id="682323786">
      <w:bodyDiv w:val="1"/>
      <w:marLeft w:val="0"/>
      <w:marRight w:val="0"/>
      <w:marTop w:val="0"/>
      <w:marBottom w:val="0"/>
      <w:divBdr>
        <w:top w:val="none" w:sz="0" w:space="0" w:color="auto"/>
        <w:left w:val="none" w:sz="0" w:space="0" w:color="auto"/>
        <w:bottom w:val="none" w:sz="0" w:space="0" w:color="auto"/>
        <w:right w:val="none" w:sz="0" w:space="0" w:color="auto"/>
      </w:divBdr>
      <w:divsChild>
        <w:div w:id="371150144">
          <w:marLeft w:val="0"/>
          <w:marRight w:val="0"/>
          <w:marTop w:val="0"/>
          <w:marBottom w:val="0"/>
          <w:divBdr>
            <w:top w:val="none" w:sz="0" w:space="0" w:color="auto"/>
            <w:left w:val="none" w:sz="0" w:space="0" w:color="auto"/>
            <w:bottom w:val="none" w:sz="0" w:space="0" w:color="auto"/>
            <w:right w:val="none" w:sz="0" w:space="0" w:color="auto"/>
          </w:divBdr>
        </w:div>
      </w:divsChild>
    </w:div>
    <w:div w:id="687221206">
      <w:bodyDiv w:val="1"/>
      <w:marLeft w:val="0"/>
      <w:marRight w:val="0"/>
      <w:marTop w:val="0"/>
      <w:marBottom w:val="0"/>
      <w:divBdr>
        <w:top w:val="none" w:sz="0" w:space="0" w:color="auto"/>
        <w:left w:val="none" w:sz="0" w:space="0" w:color="auto"/>
        <w:bottom w:val="none" w:sz="0" w:space="0" w:color="auto"/>
        <w:right w:val="none" w:sz="0" w:space="0" w:color="auto"/>
      </w:divBdr>
    </w:div>
    <w:div w:id="692003581">
      <w:bodyDiv w:val="1"/>
      <w:marLeft w:val="0"/>
      <w:marRight w:val="0"/>
      <w:marTop w:val="0"/>
      <w:marBottom w:val="0"/>
      <w:divBdr>
        <w:top w:val="none" w:sz="0" w:space="0" w:color="auto"/>
        <w:left w:val="none" w:sz="0" w:space="0" w:color="auto"/>
        <w:bottom w:val="none" w:sz="0" w:space="0" w:color="auto"/>
        <w:right w:val="none" w:sz="0" w:space="0" w:color="auto"/>
      </w:divBdr>
      <w:divsChild>
        <w:div w:id="1043215948">
          <w:marLeft w:val="0"/>
          <w:marRight w:val="0"/>
          <w:marTop w:val="0"/>
          <w:marBottom w:val="0"/>
          <w:divBdr>
            <w:top w:val="none" w:sz="0" w:space="0" w:color="auto"/>
            <w:left w:val="none" w:sz="0" w:space="0" w:color="auto"/>
            <w:bottom w:val="none" w:sz="0" w:space="0" w:color="auto"/>
            <w:right w:val="none" w:sz="0" w:space="0" w:color="auto"/>
          </w:divBdr>
          <w:divsChild>
            <w:div w:id="849098767">
              <w:marLeft w:val="0"/>
              <w:marRight w:val="0"/>
              <w:marTop w:val="0"/>
              <w:marBottom w:val="0"/>
              <w:divBdr>
                <w:top w:val="none" w:sz="0" w:space="0" w:color="auto"/>
                <w:left w:val="none" w:sz="0" w:space="0" w:color="auto"/>
                <w:bottom w:val="none" w:sz="0" w:space="0" w:color="auto"/>
                <w:right w:val="none" w:sz="0" w:space="0" w:color="auto"/>
              </w:divBdr>
              <w:divsChild>
                <w:div w:id="10187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58091">
      <w:bodyDiv w:val="1"/>
      <w:marLeft w:val="0"/>
      <w:marRight w:val="0"/>
      <w:marTop w:val="0"/>
      <w:marBottom w:val="0"/>
      <w:divBdr>
        <w:top w:val="none" w:sz="0" w:space="0" w:color="auto"/>
        <w:left w:val="none" w:sz="0" w:space="0" w:color="auto"/>
        <w:bottom w:val="none" w:sz="0" w:space="0" w:color="auto"/>
        <w:right w:val="none" w:sz="0" w:space="0" w:color="auto"/>
      </w:divBdr>
    </w:div>
    <w:div w:id="708333242">
      <w:bodyDiv w:val="1"/>
      <w:marLeft w:val="0"/>
      <w:marRight w:val="0"/>
      <w:marTop w:val="0"/>
      <w:marBottom w:val="0"/>
      <w:divBdr>
        <w:top w:val="none" w:sz="0" w:space="0" w:color="auto"/>
        <w:left w:val="none" w:sz="0" w:space="0" w:color="auto"/>
        <w:bottom w:val="none" w:sz="0" w:space="0" w:color="auto"/>
        <w:right w:val="none" w:sz="0" w:space="0" w:color="auto"/>
      </w:divBdr>
      <w:divsChild>
        <w:div w:id="1823501991">
          <w:marLeft w:val="126"/>
          <w:marRight w:val="126"/>
          <w:marTop w:val="0"/>
          <w:marBottom w:val="126"/>
          <w:divBdr>
            <w:top w:val="none" w:sz="0" w:space="0" w:color="auto"/>
            <w:left w:val="none" w:sz="0" w:space="0" w:color="auto"/>
            <w:bottom w:val="none" w:sz="0" w:space="0" w:color="auto"/>
            <w:right w:val="none" w:sz="0" w:space="0" w:color="auto"/>
          </w:divBdr>
          <w:divsChild>
            <w:div w:id="1603763565">
              <w:marLeft w:val="0"/>
              <w:marRight w:val="0"/>
              <w:marTop w:val="0"/>
              <w:marBottom w:val="0"/>
              <w:divBdr>
                <w:top w:val="none" w:sz="0" w:space="0" w:color="auto"/>
                <w:left w:val="none" w:sz="0" w:space="0" w:color="auto"/>
                <w:bottom w:val="none" w:sz="0" w:space="0" w:color="auto"/>
                <w:right w:val="none" w:sz="0" w:space="0" w:color="auto"/>
              </w:divBdr>
              <w:divsChild>
                <w:div w:id="1900172196">
                  <w:marLeft w:val="0"/>
                  <w:marRight w:val="0"/>
                  <w:marTop w:val="0"/>
                  <w:marBottom w:val="0"/>
                  <w:divBdr>
                    <w:top w:val="none" w:sz="0" w:space="0" w:color="auto"/>
                    <w:left w:val="none" w:sz="0" w:space="0" w:color="auto"/>
                    <w:bottom w:val="none" w:sz="0" w:space="0" w:color="auto"/>
                    <w:right w:val="none" w:sz="0" w:space="0" w:color="auto"/>
                  </w:divBdr>
                </w:div>
                <w:div w:id="901989276">
                  <w:marLeft w:val="0"/>
                  <w:marRight w:val="108"/>
                  <w:marTop w:val="18"/>
                  <w:marBottom w:val="108"/>
                  <w:divBdr>
                    <w:top w:val="none" w:sz="0" w:space="0" w:color="auto"/>
                    <w:left w:val="none" w:sz="0" w:space="0" w:color="auto"/>
                    <w:bottom w:val="none" w:sz="0" w:space="0" w:color="auto"/>
                    <w:right w:val="none" w:sz="0" w:space="0" w:color="auto"/>
                  </w:divBdr>
                  <w:divsChild>
                    <w:div w:id="889540808">
                      <w:marLeft w:val="0"/>
                      <w:marRight w:val="0"/>
                      <w:marTop w:val="0"/>
                      <w:marBottom w:val="0"/>
                      <w:divBdr>
                        <w:top w:val="none" w:sz="0" w:space="0" w:color="auto"/>
                        <w:left w:val="none" w:sz="0" w:space="0" w:color="auto"/>
                        <w:bottom w:val="none" w:sz="0" w:space="0" w:color="auto"/>
                        <w:right w:val="none" w:sz="0" w:space="0" w:color="auto"/>
                      </w:divBdr>
                      <w:divsChild>
                        <w:div w:id="851145674">
                          <w:marLeft w:val="0"/>
                          <w:marRight w:val="0"/>
                          <w:marTop w:val="0"/>
                          <w:marBottom w:val="0"/>
                          <w:divBdr>
                            <w:top w:val="none" w:sz="0" w:space="0" w:color="auto"/>
                            <w:left w:val="none" w:sz="0" w:space="0" w:color="auto"/>
                            <w:bottom w:val="none" w:sz="0" w:space="0" w:color="auto"/>
                            <w:right w:val="none" w:sz="0" w:space="0" w:color="auto"/>
                          </w:divBdr>
                          <w:divsChild>
                            <w:div w:id="2134251164">
                              <w:marLeft w:val="0"/>
                              <w:marRight w:val="0"/>
                              <w:marTop w:val="0"/>
                              <w:marBottom w:val="0"/>
                              <w:divBdr>
                                <w:top w:val="none" w:sz="0" w:space="0" w:color="auto"/>
                                <w:left w:val="none" w:sz="0" w:space="0" w:color="auto"/>
                                <w:bottom w:val="none" w:sz="0" w:space="0" w:color="auto"/>
                                <w:right w:val="none" w:sz="0" w:space="0" w:color="auto"/>
                              </w:divBdr>
                              <w:divsChild>
                                <w:div w:id="12243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610892">
      <w:bodyDiv w:val="1"/>
      <w:marLeft w:val="0"/>
      <w:marRight w:val="0"/>
      <w:marTop w:val="0"/>
      <w:marBottom w:val="0"/>
      <w:divBdr>
        <w:top w:val="none" w:sz="0" w:space="0" w:color="auto"/>
        <w:left w:val="none" w:sz="0" w:space="0" w:color="auto"/>
        <w:bottom w:val="none" w:sz="0" w:space="0" w:color="auto"/>
        <w:right w:val="none" w:sz="0" w:space="0" w:color="auto"/>
      </w:divBdr>
    </w:div>
    <w:div w:id="717047961">
      <w:bodyDiv w:val="1"/>
      <w:marLeft w:val="0"/>
      <w:marRight w:val="0"/>
      <w:marTop w:val="0"/>
      <w:marBottom w:val="0"/>
      <w:divBdr>
        <w:top w:val="none" w:sz="0" w:space="0" w:color="auto"/>
        <w:left w:val="none" w:sz="0" w:space="0" w:color="auto"/>
        <w:bottom w:val="none" w:sz="0" w:space="0" w:color="auto"/>
        <w:right w:val="none" w:sz="0" w:space="0" w:color="auto"/>
      </w:divBdr>
    </w:div>
    <w:div w:id="726760215">
      <w:bodyDiv w:val="1"/>
      <w:marLeft w:val="0"/>
      <w:marRight w:val="0"/>
      <w:marTop w:val="0"/>
      <w:marBottom w:val="0"/>
      <w:divBdr>
        <w:top w:val="none" w:sz="0" w:space="0" w:color="auto"/>
        <w:left w:val="none" w:sz="0" w:space="0" w:color="auto"/>
        <w:bottom w:val="none" w:sz="0" w:space="0" w:color="auto"/>
        <w:right w:val="none" w:sz="0" w:space="0" w:color="auto"/>
      </w:divBdr>
    </w:div>
    <w:div w:id="726993047">
      <w:bodyDiv w:val="1"/>
      <w:marLeft w:val="0"/>
      <w:marRight w:val="0"/>
      <w:marTop w:val="0"/>
      <w:marBottom w:val="0"/>
      <w:divBdr>
        <w:top w:val="none" w:sz="0" w:space="0" w:color="auto"/>
        <w:left w:val="none" w:sz="0" w:space="0" w:color="auto"/>
        <w:bottom w:val="none" w:sz="0" w:space="0" w:color="auto"/>
        <w:right w:val="none" w:sz="0" w:space="0" w:color="auto"/>
      </w:divBdr>
    </w:div>
    <w:div w:id="728921957">
      <w:bodyDiv w:val="1"/>
      <w:marLeft w:val="0"/>
      <w:marRight w:val="0"/>
      <w:marTop w:val="0"/>
      <w:marBottom w:val="0"/>
      <w:divBdr>
        <w:top w:val="none" w:sz="0" w:space="0" w:color="auto"/>
        <w:left w:val="none" w:sz="0" w:space="0" w:color="auto"/>
        <w:bottom w:val="none" w:sz="0" w:space="0" w:color="auto"/>
        <w:right w:val="none" w:sz="0" w:space="0" w:color="auto"/>
      </w:divBdr>
      <w:divsChild>
        <w:div w:id="773792472">
          <w:marLeft w:val="0"/>
          <w:marRight w:val="0"/>
          <w:marTop w:val="0"/>
          <w:marBottom w:val="0"/>
          <w:divBdr>
            <w:top w:val="none" w:sz="0" w:space="0" w:color="auto"/>
            <w:left w:val="none" w:sz="0" w:space="0" w:color="auto"/>
            <w:bottom w:val="none" w:sz="0" w:space="0" w:color="auto"/>
            <w:right w:val="none" w:sz="0" w:space="0" w:color="auto"/>
          </w:divBdr>
        </w:div>
        <w:div w:id="1519808694">
          <w:marLeft w:val="0"/>
          <w:marRight w:val="0"/>
          <w:marTop w:val="0"/>
          <w:marBottom w:val="0"/>
          <w:divBdr>
            <w:top w:val="none" w:sz="0" w:space="0" w:color="auto"/>
            <w:left w:val="none" w:sz="0" w:space="0" w:color="auto"/>
            <w:bottom w:val="none" w:sz="0" w:space="0" w:color="auto"/>
            <w:right w:val="none" w:sz="0" w:space="0" w:color="auto"/>
          </w:divBdr>
        </w:div>
      </w:divsChild>
    </w:div>
    <w:div w:id="729962730">
      <w:bodyDiv w:val="1"/>
      <w:marLeft w:val="0"/>
      <w:marRight w:val="0"/>
      <w:marTop w:val="0"/>
      <w:marBottom w:val="0"/>
      <w:divBdr>
        <w:top w:val="none" w:sz="0" w:space="0" w:color="auto"/>
        <w:left w:val="none" w:sz="0" w:space="0" w:color="auto"/>
        <w:bottom w:val="none" w:sz="0" w:space="0" w:color="auto"/>
        <w:right w:val="none" w:sz="0" w:space="0" w:color="auto"/>
      </w:divBdr>
      <w:divsChild>
        <w:div w:id="1789616329">
          <w:marLeft w:val="126"/>
          <w:marRight w:val="126"/>
          <w:marTop w:val="0"/>
          <w:marBottom w:val="126"/>
          <w:divBdr>
            <w:top w:val="none" w:sz="0" w:space="0" w:color="auto"/>
            <w:left w:val="none" w:sz="0" w:space="0" w:color="auto"/>
            <w:bottom w:val="none" w:sz="0" w:space="0" w:color="auto"/>
            <w:right w:val="none" w:sz="0" w:space="0" w:color="auto"/>
          </w:divBdr>
          <w:divsChild>
            <w:div w:id="1440643977">
              <w:marLeft w:val="0"/>
              <w:marRight w:val="0"/>
              <w:marTop w:val="0"/>
              <w:marBottom w:val="0"/>
              <w:divBdr>
                <w:top w:val="none" w:sz="0" w:space="0" w:color="auto"/>
                <w:left w:val="none" w:sz="0" w:space="0" w:color="auto"/>
                <w:bottom w:val="none" w:sz="0" w:space="0" w:color="auto"/>
                <w:right w:val="none" w:sz="0" w:space="0" w:color="auto"/>
              </w:divBdr>
              <w:divsChild>
                <w:div w:id="10961052">
                  <w:marLeft w:val="0"/>
                  <w:marRight w:val="0"/>
                  <w:marTop w:val="0"/>
                  <w:marBottom w:val="0"/>
                  <w:divBdr>
                    <w:top w:val="none" w:sz="0" w:space="0" w:color="auto"/>
                    <w:left w:val="none" w:sz="0" w:space="0" w:color="auto"/>
                    <w:bottom w:val="none" w:sz="0" w:space="0" w:color="auto"/>
                    <w:right w:val="none" w:sz="0" w:space="0" w:color="auto"/>
                  </w:divBdr>
                </w:div>
                <w:div w:id="1404527095">
                  <w:marLeft w:val="0"/>
                  <w:marRight w:val="108"/>
                  <w:marTop w:val="18"/>
                  <w:marBottom w:val="108"/>
                  <w:divBdr>
                    <w:top w:val="none" w:sz="0" w:space="0" w:color="auto"/>
                    <w:left w:val="none" w:sz="0" w:space="0" w:color="auto"/>
                    <w:bottom w:val="none" w:sz="0" w:space="0" w:color="auto"/>
                    <w:right w:val="none" w:sz="0" w:space="0" w:color="auto"/>
                  </w:divBdr>
                  <w:divsChild>
                    <w:div w:id="732117849">
                      <w:marLeft w:val="0"/>
                      <w:marRight w:val="0"/>
                      <w:marTop w:val="0"/>
                      <w:marBottom w:val="0"/>
                      <w:divBdr>
                        <w:top w:val="none" w:sz="0" w:space="0" w:color="auto"/>
                        <w:left w:val="none" w:sz="0" w:space="0" w:color="auto"/>
                        <w:bottom w:val="none" w:sz="0" w:space="0" w:color="auto"/>
                        <w:right w:val="none" w:sz="0" w:space="0" w:color="auto"/>
                      </w:divBdr>
                      <w:divsChild>
                        <w:div w:id="656304306">
                          <w:marLeft w:val="0"/>
                          <w:marRight w:val="0"/>
                          <w:marTop w:val="0"/>
                          <w:marBottom w:val="0"/>
                          <w:divBdr>
                            <w:top w:val="none" w:sz="0" w:space="0" w:color="auto"/>
                            <w:left w:val="none" w:sz="0" w:space="0" w:color="auto"/>
                            <w:bottom w:val="none" w:sz="0" w:space="0" w:color="auto"/>
                            <w:right w:val="none" w:sz="0" w:space="0" w:color="auto"/>
                          </w:divBdr>
                          <w:divsChild>
                            <w:div w:id="1159732446">
                              <w:marLeft w:val="0"/>
                              <w:marRight w:val="0"/>
                              <w:marTop w:val="0"/>
                              <w:marBottom w:val="0"/>
                              <w:divBdr>
                                <w:top w:val="none" w:sz="0" w:space="0" w:color="auto"/>
                                <w:left w:val="none" w:sz="0" w:space="0" w:color="auto"/>
                                <w:bottom w:val="none" w:sz="0" w:space="0" w:color="auto"/>
                                <w:right w:val="none" w:sz="0" w:space="0" w:color="auto"/>
                              </w:divBdr>
                              <w:divsChild>
                                <w:div w:id="10394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69375">
                  <w:marLeft w:val="0"/>
                  <w:marRight w:val="0"/>
                  <w:marTop w:val="0"/>
                  <w:marBottom w:val="0"/>
                  <w:divBdr>
                    <w:top w:val="none" w:sz="0" w:space="0" w:color="auto"/>
                    <w:left w:val="none" w:sz="0" w:space="0" w:color="auto"/>
                    <w:bottom w:val="none" w:sz="0" w:space="0" w:color="auto"/>
                    <w:right w:val="none" w:sz="0" w:space="0" w:color="auto"/>
                  </w:divBdr>
                  <w:divsChild>
                    <w:div w:id="14282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86432">
      <w:bodyDiv w:val="1"/>
      <w:marLeft w:val="0"/>
      <w:marRight w:val="0"/>
      <w:marTop w:val="0"/>
      <w:marBottom w:val="0"/>
      <w:divBdr>
        <w:top w:val="none" w:sz="0" w:space="0" w:color="auto"/>
        <w:left w:val="none" w:sz="0" w:space="0" w:color="auto"/>
        <w:bottom w:val="none" w:sz="0" w:space="0" w:color="auto"/>
        <w:right w:val="none" w:sz="0" w:space="0" w:color="auto"/>
      </w:divBdr>
    </w:div>
    <w:div w:id="734813339">
      <w:bodyDiv w:val="1"/>
      <w:marLeft w:val="0"/>
      <w:marRight w:val="0"/>
      <w:marTop w:val="0"/>
      <w:marBottom w:val="0"/>
      <w:divBdr>
        <w:top w:val="none" w:sz="0" w:space="0" w:color="auto"/>
        <w:left w:val="none" w:sz="0" w:space="0" w:color="auto"/>
        <w:bottom w:val="none" w:sz="0" w:space="0" w:color="auto"/>
        <w:right w:val="none" w:sz="0" w:space="0" w:color="auto"/>
      </w:divBdr>
      <w:divsChild>
        <w:div w:id="513111870">
          <w:marLeft w:val="0"/>
          <w:marRight w:val="0"/>
          <w:marTop w:val="0"/>
          <w:marBottom w:val="0"/>
          <w:divBdr>
            <w:top w:val="none" w:sz="0" w:space="0" w:color="auto"/>
            <w:left w:val="none" w:sz="0" w:space="0" w:color="auto"/>
            <w:bottom w:val="none" w:sz="0" w:space="0" w:color="auto"/>
            <w:right w:val="none" w:sz="0" w:space="0" w:color="auto"/>
          </w:divBdr>
        </w:div>
      </w:divsChild>
    </w:div>
    <w:div w:id="739521195">
      <w:bodyDiv w:val="1"/>
      <w:marLeft w:val="0"/>
      <w:marRight w:val="0"/>
      <w:marTop w:val="0"/>
      <w:marBottom w:val="0"/>
      <w:divBdr>
        <w:top w:val="none" w:sz="0" w:space="0" w:color="auto"/>
        <w:left w:val="none" w:sz="0" w:space="0" w:color="auto"/>
        <w:bottom w:val="none" w:sz="0" w:space="0" w:color="auto"/>
        <w:right w:val="none" w:sz="0" w:space="0" w:color="auto"/>
      </w:divBdr>
      <w:divsChild>
        <w:div w:id="1454979637">
          <w:marLeft w:val="0"/>
          <w:marRight w:val="108"/>
          <w:marTop w:val="18"/>
          <w:marBottom w:val="108"/>
          <w:divBdr>
            <w:top w:val="none" w:sz="0" w:space="0" w:color="auto"/>
            <w:left w:val="none" w:sz="0" w:space="0" w:color="auto"/>
            <w:bottom w:val="none" w:sz="0" w:space="0" w:color="auto"/>
            <w:right w:val="none" w:sz="0" w:space="0" w:color="auto"/>
          </w:divBdr>
          <w:divsChild>
            <w:div w:id="1927380109">
              <w:marLeft w:val="0"/>
              <w:marRight w:val="0"/>
              <w:marTop w:val="0"/>
              <w:marBottom w:val="0"/>
              <w:divBdr>
                <w:top w:val="none" w:sz="0" w:space="0" w:color="auto"/>
                <w:left w:val="none" w:sz="0" w:space="0" w:color="auto"/>
                <w:bottom w:val="none" w:sz="0" w:space="0" w:color="auto"/>
                <w:right w:val="none" w:sz="0" w:space="0" w:color="auto"/>
              </w:divBdr>
              <w:divsChild>
                <w:div w:id="1739672347">
                  <w:marLeft w:val="0"/>
                  <w:marRight w:val="0"/>
                  <w:marTop w:val="0"/>
                  <w:marBottom w:val="0"/>
                  <w:divBdr>
                    <w:top w:val="none" w:sz="0" w:space="0" w:color="auto"/>
                    <w:left w:val="none" w:sz="0" w:space="0" w:color="auto"/>
                    <w:bottom w:val="none" w:sz="0" w:space="0" w:color="auto"/>
                    <w:right w:val="none" w:sz="0" w:space="0" w:color="auto"/>
                  </w:divBdr>
                  <w:divsChild>
                    <w:div w:id="1940332136">
                      <w:marLeft w:val="0"/>
                      <w:marRight w:val="0"/>
                      <w:marTop w:val="0"/>
                      <w:marBottom w:val="0"/>
                      <w:divBdr>
                        <w:top w:val="none" w:sz="0" w:space="0" w:color="auto"/>
                        <w:left w:val="none" w:sz="0" w:space="0" w:color="auto"/>
                        <w:bottom w:val="none" w:sz="0" w:space="0" w:color="auto"/>
                        <w:right w:val="none" w:sz="0" w:space="0" w:color="auto"/>
                      </w:divBdr>
                      <w:divsChild>
                        <w:div w:id="734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3518">
      <w:bodyDiv w:val="1"/>
      <w:marLeft w:val="0"/>
      <w:marRight w:val="0"/>
      <w:marTop w:val="0"/>
      <w:marBottom w:val="0"/>
      <w:divBdr>
        <w:top w:val="none" w:sz="0" w:space="0" w:color="auto"/>
        <w:left w:val="none" w:sz="0" w:space="0" w:color="auto"/>
        <w:bottom w:val="none" w:sz="0" w:space="0" w:color="auto"/>
        <w:right w:val="none" w:sz="0" w:space="0" w:color="auto"/>
      </w:divBdr>
      <w:divsChild>
        <w:div w:id="1984577141">
          <w:marLeft w:val="0"/>
          <w:marRight w:val="108"/>
          <w:marTop w:val="18"/>
          <w:marBottom w:val="108"/>
          <w:divBdr>
            <w:top w:val="none" w:sz="0" w:space="0" w:color="auto"/>
            <w:left w:val="none" w:sz="0" w:space="0" w:color="auto"/>
            <w:bottom w:val="none" w:sz="0" w:space="0" w:color="auto"/>
            <w:right w:val="none" w:sz="0" w:space="0" w:color="auto"/>
          </w:divBdr>
          <w:divsChild>
            <w:div w:id="1580628930">
              <w:marLeft w:val="0"/>
              <w:marRight w:val="0"/>
              <w:marTop w:val="0"/>
              <w:marBottom w:val="0"/>
              <w:divBdr>
                <w:top w:val="none" w:sz="0" w:space="0" w:color="auto"/>
                <w:left w:val="none" w:sz="0" w:space="0" w:color="auto"/>
                <w:bottom w:val="none" w:sz="0" w:space="0" w:color="auto"/>
                <w:right w:val="none" w:sz="0" w:space="0" w:color="auto"/>
              </w:divBdr>
              <w:divsChild>
                <w:div w:id="1371757473">
                  <w:marLeft w:val="0"/>
                  <w:marRight w:val="0"/>
                  <w:marTop w:val="0"/>
                  <w:marBottom w:val="0"/>
                  <w:divBdr>
                    <w:top w:val="none" w:sz="0" w:space="0" w:color="auto"/>
                    <w:left w:val="none" w:sz="0" w:space="0" w:color="auto"/>
                    <w:bottom w:val="none" w:sz="0" w:space="0" w:color="auto"/>
                    <w:right w:val="none" w:sz="0" w:space="0" w:color="auto"/>
                  </w:divBdr>
                  <w:divsChild>
                    <w:div w:id="505440412">
                      <w:marLeft w:val="0"/>
                      <w:marRight w:val="0"/>
                      <w:marTop w:val="0"/>
                      <w:marBottom w:val="0"/>
                      <w:divBdr>
                        <w:top w:val="none" w:sz="0" w:space="0" w:color="auto"/>
                        <w:left w:val="none" w:sz="0" w:space="0" w:color="auto"/>
                        <w:bottom w:val="none" w:sz="0" w:space="0" w:color="auto"/>
                        <w:right w:val="none" w:sz="0" w:space="0" w:color="auto"/>
                      </w:divBdr>
                      <w:divsChild>
                        <w:div w:id="10757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18599">
      <w:bodyDiv w:val="1"/>
      <w:marLeft w:val="0"/>
      <w:marRight w:val="0"/>
      <w:marTop w:val="0"/>
      <w:marBottom w:val="0"/>
      <w:divBdr>
        <w:top w:val="none" w:sz="0" w:space="0" w:color="auto"/>
        <w:left w:val="none" w:sz="0" w:space="0" w:color="auto"/>
        <w:bottom w:val="none" w:sz="0" w:space="0" w:color="auto"/>
        <w:right w:val="none" w:sz="0" w:space="0" w:color="auto"/>
      </w:divBdr>
    </w:div>
    <w:div w:id="756099922">
      <w:bodyDiv w:val="1"/>
      <w:marLeft w:val="0"/>
      <w:marRight w:val="0"/>
      <w:marTop w:val="0"/>
      <w:marBottom w:val="0"/>
      <w:divBdr>
        <w:top w:val="none" w:sz="0" w:space="0" w:color="auto"/>
        <w:left w:val="none" w:sz="0" w:space="0" w:color="auto"/>
        <w:bottom w:val="none" w:sz="0" w:space="0" w:color="auto"/>
        <w:right w:val="none" w:sz="0" w:space="0" w:color="auto"/>
      </w:divBdr>
    </w:div>
    <w:div w:id="760760615">
      <w:bodyDiv w:val="1"/>
      <w:marLeft w:val="0"/>
      <w:marRight w:val="0"/>
      <w:marTop w:val="0"/>
      <w:marBottom w:val="0"/>
      <w:divBdr>
        <w:top w:val="none" w:sz="0" w:space="0" w:color="auto"/>
        <w:left w:val="none" w:sz="0" w:space="0" w:color="auto"/>
        <w:bottom w:val="none" w:sz="0" w:space="0" w:color="auto"/>
        <w:right w:val="none" w:sz="0" w:space="0" w:color="auto"/>
      </w:divBdr>
    </w:div>
    <w:div w:id="761411791">
      <w:bodyDiv w:val="1"/>
      <w:marLeft w:val="0"/>
      <w:marRight w:val="0"/>
      <w:marTop w:val="0"/>
      <w:marBottom w:val="0"/>
      <w:divBdr>
        <w:top w:val="none" w:sz="0" w:space="0" w:color="auto"/>
        <w:left w:val="none" w:sz="0" w:space="0" w:color="auto"/>
        <w:bottom w:val="none" w:sz="0" w:space="0" w:color="auto"/>
        <w:right w:val="none" w:sz="0" w:space="0" w:color="auto"/>
      </w:divBdr>
      <w:divsChild>
        <w:div w:id="1081827376">
          <w:marLeft w:val="126"/>
          <w:marRight w:val="126"/>
          <w:marTop w:val="0"/>
          <w:marBottom w:val="126"/>
          <w:divBdr>
            <w:top w:val="none" w:sz="0" w:space="0" w:color="auto"/>
            <w:left w:val="none" w:sz="0" w:space="0" w:color="auto"/>
            <w:bottom w:val="none" w:sz="0" w:space="0" w:color="auto"/>
            <w:right w:val="none" w:sz="0" w:space="0" w:color="auto"/>
          </w:divBdr>
          <w:divsChild>
            <w:div w:id="1782527445">
              <w:marLeft w:val="0"/>
              <w:marRight w:val="0"/>
              <w:marTop w:val="0"/>
              <w:marBottom w:val="0"/>
              <w:divBdr>
                <w:top w:val="none" w:sz="0" w:space="0" w:color="auto"/>
                <w:left w:val="none" w:sz="0" w:space="0" w:color="auto"/>
                <w:bottom w:val="none" w:sz="0" w:space="0" w:color="auto"/>
                <w:right w:val="none" w:sz="0" w:space="0" w:color="auto"/>
              </w:divBdr>
              <w:divsChild>
                <w:div w:id="1759213429">
                  <w:marLeft w:val="0"/>
                  <w:marRight w:val="0"/>
                  <w:marTop w:val="0"/>
                  <w:marBottom w:val="0"/>
                  <w:divBdr>
                    <w:top w:val="none" w:sz="0" w:space="0" w:color="auto"/>
                    <w:left w:val="none" w:sz="0" w:space="0" w:color="auto"/>
                    <w:bottom w:val="none" w:sz="0" w:space="0" w:color="auto"/>
                    <w:right w:val="none" w:sz="0" w:space="0" w:color="auto"/>
                  </w:divBdr>
                </w:div>
                <w:div w:id="762143170">
                  <w:marLeft w:val="0"/>
                  <w:marRight w:val="108"/>
                  <w:marTop w:val="18"/>
                  <w:marBottom w:val="108"/>
                  <w:divBdr>
                    <w:top w:val="none" w:sz="0" w:space="0" w:color="auto"/>
                    <w:left w:val="none" w:sz="0" w:space="0" w:color="auto"/>
                    <w:bottom w:val="none" w:sz="0" w:space="0" w:color="auto"/>
                    <w:right w:val="none" w:sz="0" w:space="0" w:color="auto"/>
                  </w:divBdr>
                  <w:divsChild>
                    <w:div w:id="1912961481">
                      <w:marLeft w:val="0"/>
                      <w:marRight w:val="0"/>
                      <w:marTop w:val="0"/>
                      <w:marBottom w:val="0"/>
                      <w:divBdr>
                        <w:top w:val="none" w:sz="0" w:space="0" w:color="auto"/>
                        <w:left w:val="none" w:sz="0" w:space="0" w:color="auto"/>
                        <w:bottom w:val="none" w:sz="0" w:space="0" w:color="auto"/>
                        <w:right w:val="none" w:sz="0" w:space="0" w:color="auto"/>
                      </w:divBdr>
                      <w:divsChild>
                        <w:div w:id="1168669674">
                          <w:marLeft w:val="0"/>
                          <w:marRight w:val="0"/>
                          <w:marTop w:val="0"/>
                          <w:marBottom w:val="0"/>
                          <w:divBdr>
                            <w:top w:val="none" w:sz="0" w:space="0" w:color="auto"/>
                            <w:left w:val="none" w:sz="0" w:space="0" w:color="auto"/>
                            <w:bottom w:val="none" w:sz="0" w:space="0" w:color="auto"/>
                            <w:right w:val="none" w:sz="0" w:space="0" w:color="auto"/>
                          </w:divBdr>
                          <w:divsChild>
                            <w:div w:id="1758551916">
                              <w:marLeft w:val="0"/>
                              <w:marRight w:val="0"/>
                              <w:marTop w:val="0"/>
                              <w:marBottom w:val="0"/>
                              <w:divBdr>
                                <w:top w:val="none" w:sz="0" w:space="0" w:color="auto"/>
                                <w:left w:val="none" w:sz="0" w:space="0" w:color="auto"/>
                                <w:bottom w:val="none" w:sz="0" w:space="0" w:color="auto"/>
                                <w:right w:val="none" w:sz="0" w:space="0" w:color="auto"/>
                              </w:divBdr>
                              <w:divsChild>
                                <w:div w:id="19609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50918">
                  <w:marLeft w:val="0"/>
                  <w:marRight w:val="0"/>
                  <w:marTop w:val="0"/>
                  <w:marBottom w:val="0"/>
                  <w:divBdr>
                    <w:top w:val="none" w:sz="0" w:space="0" w:color="auto"/>
                    <w:left w:val="none" w:sz="0" w:space="0" w:color="auto"/>
                    <w:bottom w:val="none" w:sz="0" w:space="0" w:color="auto"/>
                    <w:right w:val="none" w:sz="0" w:space="0" w:color="auto"/>
                  </w:divBdr>
                  <w:divsChild>
                    <w:div w:id="725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618457">
      <w:bodyDiv w:val="1"/>
      <w:marLeft w:val="0"/>
      <w:marRight w:val="0"/>
      <w:marTop w:val="0"/>
      <w:marBottom w:val="0"/>
      <w:divBdr>
        <w:top w:val="none" w:sz="0" w:space="0" w:color="auto"/>
        <w:left w:val="none" w:sz="0" w:space="0" w:color="auto"/>
        <w:bottom w:val="none" w:sz="0" w:space="0" w:color="auto"/>
        <w:right w:val="none" w:sz="0" w:space="0" w:color="auto"/>
      </w:divBdr>
    </w:div>
    <w:div w:id="768311095">
      <w:bodyDiv w:val="1"/>
      <w:marLeft w:val="0"/>
      <w:marRight w:val="0"/>
      <w:marTop w:val="0"/>
      <w:marBottom w:val="0"/>
      <w:divBdr>
        <w:top w:val="none" w:sz="0" w:space="0" w:color="auto"/>
        <w:left w:val="none" w:sz="0" w:space="0" w:color="auto"/>
        <w:bottom w:val="none" w:sz="0" w:space="0" w:color="auto"/>
        <w:right w:val="none" w:sz="0" w:space="0" w:color="auto"/>
      </w:divBdr>
      <w:divsChild>
        <w:div w:id="1698120959">
          <w:marLeft w:val="0"/>
          <w:marRight w:val="0"/>
          <w:marTop w:val="0"/>
          <w:marBottom w:val="0"/>
          <w:divBdr>
            <w:top w:val="none" w:sz="0" w:space="0" w:color="auto"/>
            <w:left w:val="none" w:sz="0" w:space="0" w:color="auto"/>
            <w:bottom w:val="none" w:sz="0" w:space="0" w:color="auto"/>
            <w:right w:val="none" w:sz="0" w:space="0" w:color="auto"/>
          </w:divBdr>
        </w:div>
        <w:div w:id="1966958997">
          <w:marLeft w:val="0"/>
          <w:marRight w:val="0"/>
          <w:marTop w:val="0"/>
          <w:marBottom w:val="0"/>
          <w:divBdr>
            <w:top w:val="none" w:sz="0" w:space="0" w:color="auto"/>
            <w:left w:val="none" w:sz="0" w:space="0" w:color="auto"/>
            <w:bottom w:val="none" w:sz="0" w:space="0" w:color="auto"/>
            <w:right w:val="none" w:sz="0" w:space="0" w:color="auto"/>
          </w:divBdr>
        </w:div>
      </w:divsChild>
    </w:div>
    <w:div w:id="771557502">
      <w:bodyDiv w:val="1"/>
      <w:marLeft w:val="0"/>
      <w:marRight w:val="0"/>
      <w:marTop w:val="0"/>
      <w:marBottom w:val="0"/>
      <w:divBdr>
        <w:top w:val="none" w:sz="0" w:space="0" w:color="auto"/>
        <w:left w:val="none" w:sz="0" w:space="0" w:color="auto"/>
        <w:bottom w:val="none" w:sz="0" w:space="0" w:color="auto"/>
        <w:right w:val="none" w:sz="0" w:space="0" w:color="auto"/>
      </w:divBdr>
      <w:divsChild>
        <w:div w:id="1289164105">
          <w:marLeft w:val="0"/>
          <w:marRight w:val="0"/>
          <w:marTop w:val="0"/>
          <w:marBottom w:val="0"/>
          <w:divBdr>
            <w:top w:val="none" w:sz="0" w:space="0" w:color="auto"/>
            <w:left w:val="none" w:sz="0" w:space="0" w:color="auto"/>
            <w:bottom w:val="none" w:sz="0" w:space="0" w:color="auto"/>
            <w:right w:val="none" w:sz="0" w:space="0" w:color="auto"/>
          </w:divBdr>
        </w:div>
      </w:divsChild>
    </w:div>
    <w:div w:id="771630463">
      <w:bodyDiv w:val="1"/>
      <w:marLeft w:val="0"/>
      <w:marRight w:val="0"/>
      <w:marTop w:val="0"/>
      <w:marBottom w:val="0"/>
      <w:divBdr>
        <w:top w:val="none" w:sz="0" w:space="0" w:color="auto"/>
        <w:left w:val="none" w:sz="0" w:space="0" w:color="auto"/>
        <w:bottom w:val="none" w:sz="0" w:space="0" w:color="auto"/>
        <w:right w:val="none" w:sz="0" w:space="0" w:color="auto"/>
      </w:divBdr>
      <w:divsChild>
        <w:div w:id="1569077874">
          <w:marLeft w:val="0"/>
          <w:marRight w:val="0"/>
          <w:marTop w:val="0"/>
          <w:marBottom w:val="0"/>
          <w:divBdr>
            <w:top w:val="none" w:sz="0" w:space="0" w:color="auto"/>
            <w:left w:val="none" w:sz="0" w:space="0" w:color="auto"/>
            <w:bottom w:val="none" w:sz="0" w:space="0" w:color="auto"/>
            <w:right w:val="none" w:sz="0" w:space="0" w:color="auto"/>
          </w:divBdr>
        </w:div>
      </w:divsChild>
    </w:div>
    <w:div w:id="772093674">
      <w:bodyDiv w:val="1"/>
      <w:marLeft w:val="0"/>
      <w:marRight w:val="0"/>
      <w:marTop w:val="0"/>
      <w:marBottom w:val="0"/>
      <w:divBdr>
        <w:top w:val="none" w:sz="0" w:space="0" w:color="auto"/>
        <w:left w:val="none" w:sz="0" w:space="0" w:color="auto"/>
        <w:bottom w:val="none" w:sz="0" w:space="0" w:color="auto"/>
        <w:right w:val="none" w:sz="0" w:space="0" w:color="auto"/>
      </w:divBdr>
      <w:divsChild>
        <w:div w:id="246505613">
          <w:marLeft w:val="0"/>
          <w:marRight w:val="0"/>
          <w:marTop w:val="0"/>
          <w:marBottom w:val="0"/>
          <w:divBdr>
            <w:top w:val="none" w:sz="0" w:space="0" w:color="auto"/>
            <w:left w:val="none" w:sz="0" w:space="0" w:color="auto"/>
            <w:bottom w:val="none" w:sz="0" w:space="0" w:color="auto"/>
            <w:right w:val="none" w:sz="0" w:space="0" w:color="auto"/>
          </w:divBdr>
        </w:div>
      </w:divsChild>
    </w:div>
    <w:div w:id="773718809">
      <w:bodyDiv w:val="1"/>
      <w:marLeft w:val="0"/>
      <w:marRight w:val="0"/>
      <w:marTop w:val="0"/>
      <w:marBottom w:val="0"/>
      <w:divBdr>
        <w:top w:val="none" w:sz="0" w:space="0" w:color="auto"/>
        <w:left w:val="none" w:sz="0" w:space="0" w:color="auto"/>
        <w:bottom w:val="none" w:sz="0" w:space="0" w:color="auto"/>
        <w:right w:val="none" w:sz="0" w:space="0" w:color="auto"/>
      </w:divBdr>
    </w:div>
    <w:div w:id="775637083">
      <w:bodyDiv w:val="1"/>
      <w:marLeft w:val="0"/>
      <w:marRight w:val="0"/>
      <w:marTop w:val="0"/>
      <w:marBottom w:val="0"/>
      <w:divBdr>
        <w:top w:val="none" w:sz="0" w:space="0" w:color="auto"/>
        <w:left w:val="none" w:sz="0" w:space="0" w:color="auto"/>
        <w:bottom w:val="none" w:sz="0" w:space="0" w:color="auto"/>
        <w:right w:val="none" w:sz="0" w:space="0" w:color="auto"/>
      </w:divBdr>
      <w:divsChild>
        <w:div w:id="1301039594">
          <w:marLeft w:val="0"/>
          <w:marRight w:val="0"/>
          <w:marTop w:val="0"/>
          <w:marBottom w:val="0"/>
          <w:divBdr>
            <w:top w:val="none" w:sz="0" w:space="0" w:color="auto"/>
            <w:left w:val="none" w:sz="0" w:space="0" w:color="auto"/>
            <w:bottom w:val="none" w:sz="0" w:space="0" w:color="auto"/>
            <w:right w:val="none" w:sz="0" w:space="0" w:color="auto"/>
          </w:divBdr>
        </w:div>
      </w:divsChild>
    </w:div>
    <w:div w:id="783842280">
      <w:bodyDiv w:val="1"/>
      <w:marLeft w:val="0"/>
      <w:marRight w:val="0"/>
      <w:marTop w:val="0"/>
      <w:marBottom w:val="0"/>
      <w:divBdr>
        <w:top w:val="none" w:sz="0" w:space="0" w:color="auto"/>
        <w:left w:val="none" w:sz="0" w:space="0" w:color="auto"/>
        <w:bottom w:val="none" w:sz="0" w:space="0" w:color="auto"/>
        <w:right w:val="none" w:sz="0" w:space="0" w:color="auto"/>
      </w:divBdr>
      <w:divsChild>
        <w:div w:id="860123639">
          <w:marLeft w:val="0"/>
          <w:marRight w:val="0"/>
          <w:marTop w:val="0"/>
          <w:marBottom w:val="0"/>
          <w:divBdr>
            <w:top w:val="none" w:sz="0" w:space="0" w:color="auto"/>
            <w:left w:val="none" w:sz="0" w:space="0" w:color="auto"/>
            <w:bottom w:val="none" w:sz="0" w:space="0" w:color="auto"/>
            <w:right w:val="none" w:sz="0" w:space="0" w:color="auto"/>
          </w:divBdr>
        </w:div>
        <w:div w:id="992177651">
          <w:marLeft w:val="0"/>
          <w:marRight w:val="0"/>
          <w:marTop w:val="0"/>
          <w:marBottom w:val="0"/>
          <w:divBdr>
            <w:top w:val="none" w:sz="0" w:space="0" w:color="auto"/>
            <w:left w:val="none" w:sz="0" w:space="0" w:color="auto"/>
            <w:bottom w:val="none" w:sz="0" w:space="0" w:color="auto"/>
            <w:right w:val="none" w:sz="0" w:space="0" w:color="auto"/>
          </w:divBdr>
        </w:div>
      </w:divsChild>
    </w:div>
    <w:div w:id="793325546">
      <w:bodyDiv w:val="1"/>
      <w:marLeft w:val="360"/>
      <w:marRight w:val="360"/>
      <w:marTop w:val="360"/>
      <w:marBottom w:val="360"/>
      <w:divBdr>
        <w:top w:val="none" w:sz="0" w:space="0" w:color="auto"/>
        <w:left w:val="none" w:sz="0" w:space="0" w:color="auto"/>
        <w:bottom w:val="none" w:sz="0" w:space="0" w:color="auto"/>
        <w:right w:val="none" w:sz="0" w:space="0" w:color="auto"/>
      </w:divBdr>
    </w:div>
    <w:div w:id="801381272">
      <w:bodyDiv w:val="1"/>
      <w:marLeft w:val="0"/>
      <w:marRight w:val="0"/>
      <w:marTop w:val="0"/>
      <w:marBottom w:val="0"/>
      <w:divBdr>
        <w:top w:val="none" w:sz="0" w:space="0" w:color="auto"/>
        <w:left w:val="none" w:sz="0" w:space="0" w:color="auto"/>
        <w:bottom w:val="none" w:sz="0" w:space="0" w:color="auto"/>
        <w:right w:val="none" w:sz="0" w:space="0" w:color="auto"/>
      </w:divBdr>
    </w:div>
    <w:div w:id="804010365">
      <w:bodyDiv w:val="1"/>
      <w:marLeft w:val="0"/>
      <w:marRight w:val="0"/>
      <w:marTop w:val="0"/>
      <w:marBottom w:val="0"/>
      <w:divBdr>
        <w:top w:val="none" w:sz="0" w:space="0" w:color="auto"/>
        <w:left w:val="none" w:sz="0" w:space="0" w:color="auto"/>
        <w:bottom w:val="none" w:sz="0" w:space="0" w:color="auto"/>
        <w:right w:val="none" w:sz="0" w:space="0" w:color="auto"/>
      </w:divBdr>
    </w:div>
    <w:div w:id="809783787">
      <w:bodyDiv w:val="1"/>
      <w:marLeft w:val="0"/>
      <w:marRight w:val="0"/>
      <w:marTop w:val="0"/>
      <w:marBottom w:val="0"/>
      <w:divBdr>
        <w:top w:val="none" w:sz="0" w:space="0" w:color="auto"/>
        <w:left w:val="none" w:sz="0" w:space="0" w:color="auto"/>
        <w:bottom w:val="none" w:sz="0" w:space="0" w:color="auto"/>
        <w:right w:val="none" w:sz="0" w:space="0" w:color="auto"/>
      </w:divBdr>
    </w:div>
    <w:div w:id="865143963">
      <w:bodyDiv w:val="1"/>
      <w:marLeft w:val="0"/>
      <w:marRight w:val="0"/>
      <w:marTop w:val="0"/>
      <w:marBottom w:val="0"/>
      <w:divBdr>
        <w:top w:val="none" w:sz="0" w:space="0" w:color="auto"/>
        <w:left w:val="none" w:sz="0" w:space="0" w:color="auto"/>
        <w:bottom w:val="none" w:sz="0" w:space="0" w:color="auto"/>
        <w:right w:val="none" w:sz="0" w:space="0" w:color="auto"/>
      </w:divBdr>
    </w:div>
    <w:div w:id="867644604">
      <w:bodyDiv w:val="1"/>
      <w:marLeft w:val="0"/>
      <w:marRight w:val="0"/>
      <w:marTop w:val="0"/>
      <w:marBottom w:val="0"/>
      <w:divBdr>
        <w:top w:val="none" w:sz="0" w:space="0" w:color="auto"/>
        <w:left w:val="none" w:sz="0" w:space="0" w:color="auto"/>
        <w:bottom w:val="none" w:sz="0" w:space="0" w:color="auto"/>
        <w:right w:val="none" w:sz="0" w:space="0" w:color="auto"/>
      </w:divBdr>
      <w:divsChild>
        <w:div w:id="116409377">
          <w:marLeft w:val="126"/>
          <w:marRight w:val="126"/>
          <w:marTop w:val="0"/>
          <w:marBottom w:val="126"/>
          <w:divBdr>
            <w:top w:val="none" w:sz="0" w:space="0" w:color="auto"/>
            <w:left w:val="none" w:sz="0" w:space="0" w:color="auto"/>
            <w:bottom w:val="none" w:sz="0" w:space="0" w:color="auto"/>
            <w:right w:val="none" w:sz="0" w:space="0" w:color="auto"/>
          </w:divBdr>
          <w:divsChild>
            <w:div w:id="639193561">
              <w:marLeft w:val="0"/>
              <w:marRight w:val="0"/>
              <w:marTop w:val="0"/>
              <w:marBottom w:val="0"/>
              <w:divBdr>
                <w:top w:val="none" w:sz="0" w:space="0" w:color="auto"/>
                <w:left w:val="none" w:sz="0" w:space="0" w:color="auto"/>
                <w:bottom w:val="none" w:sz="0" w:space="0" w:color="auto"/>
                <w:right w:val="none" w:sz="0" w:space="0" w:color="auto"/>
              </w:divBdr>
              <w:divsChild>
                <w:div w:id="417823917">
                  <w:marLeft w:val="0"/>
                  <w:marRight w:val="0"/>
                  <w:marTop w:val="0"/>
                  <w:marBottom w:val="0"/>
                  <w:divBdr>
                    <w:top w:val="none" w:sz="0" w:space="0" w:color="auto"/>
                    <w:left w:val="none" w:sz="0" w:space="0" w:color="auto"/>
                    <w:bottom w:val="none" w:sz="0" w:space="0" w:color="auto"/>
                    <w:right w:val="none" w:sz="0" w:space="0" w:color="auto"/>
                  </w:divBdr>
                </w:div>
                <w:div w:id="810368789">
                  <w:marLeft w:val="0"/>
                  <w:marRight w:val="108"/>
                  <w:marTop w:val="18"/>
                  <w:marBottom w:val="108"/>
                  <w:divBdr>
                    <w:top w:val="none" w:sz="0" w:space="0" w:color="auto"/>
                    <w:left w:val="none" w:sz="0" w:space="0" w:color="auto"/>
                    <w:bottom w:val="none" w:sz="0" w:space="0" w:color="auto"/>
                    <w:right w:val="none" w:sz="0" w:space="0" w:color="auto"/>
                  </w:divBdr>
                  <w:divsChild>
                    <w:div w:id="2041128186">
                      <w:marLeft w:val="0"/>
                      <w:marRight w:val="0"/>
                      <w:marTop w:val="0"/>
                      <w:marBottom w:val="0"/>
                      <w:divBdr>
                        <w:top w:val="none" w:sz="0" w:space="0" w:color="auto"/>
                        <w:left w:val="none" w:sz="0" w:space="0" w:color="auto"/>
                        <w:bottom w:val="none" w:sz="0" w:space="0" w:color="auto"/>
                        <w:right w:val="none" w:sz="0" w:space="0" w:color="auto"/>
                      </w:divBdr>
                      <w:divsChild>
                        <w:div w:id="841554652">
                          <w:marLeft w:val="0"/>
                          <w:marRight w:val="0"/>
                          <w:marTop w:val="0"/>
                          <w:marBottom w:val="0"/>
                          <w:divBdr>
                            <w:top w:val="none" w:sz="0" w:space="0" w:color="auto"/>
                            <w:left w:val="none" w:sz="0" w:space="0" w:color="auto"/>
                            <w:bottom w:val="none" w:sz="0" w:space="0" w:color="auto"/>
                            <w:right w:val="none" w:sz="0" w:space="0" w:color="auto"/>
                          </w:divBdr>
                          <w:divsChild>
                            <w:div w:id="2085564122">
                              <w:marLeft w:val="0"/>
                              <w:marRight w:val="0"/>
                              <w:marTop w:val="0"/>
                              <w:marBottom w:val="0"/>
                              <w:divBdr>
                                <w:top w:val="none" w:sz="0" w:space="0" w:color="auto"/>
                                <w:left w:val="none" w:sz="0" w:space="0" w:color="auto"/>
                                <w:bottom w:val="none" w:sz="0" w:space="0" w:color="auto"/>
                                <w:right w:val="none" w:sz="0" w:space="0" w:color="auto"/>
                              </w:divBdr>
                              <w:divsChild>
                                <w:div w:id="3623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083143">
      <w:bodyDiv w:val="1"/>
      <w:marLeft w:val="0"/>
      <w:marRight w:val="0"/>
      <w:marTop w:val="0"/>
      <w:marBottom w:val="0"/>
      <w:divBdr>
        <w:top w:val="none" w:sz="0" w:space="0" w:color="auto"/>
        <w:left w:val="none" w:sz="0" w:space="0" w:color="auto"/>
        <w:bottom w:val="none" w:sz="0" w:space="0" w:color="auto"/>
        <w:right w:val="none" w:sz="0" w:space="0" w:color="auto"/>
      </w:divBdr>
      <w:divsChild>
        <w:div w:id="302320145">
          <w:marLeft w:val="0"/>
          <w:marRight w:val="108"/>
          <w:marTop w:val="18"/>
          <w:marBottom w:val="108"/>
          <w:divBdr>
            <w:top w:val="none" w:sz="0" w:space="0" w:color="auto"/>
            <w:left w:val="none" w:sz="0" w:space="0" w:color="auto"/>
            <w:bottom w:val="none" w:sz="0" w:space="0" w:color="auto"/>
            <w:right w:val="none" w:sz="0" w:space="0" w:color="auto"/>
          </w:divBdr>
          <w:divsChild>
            <w:div w:id="1652903008">
              <w:marLeft w:val="0"/>
              <w:marRight w:val="0"/>
              <w:marTop w:val="0"/>
              <w:marBottom w:val="0"/>
              <w:divBdr>
                <w:top w:val="none" w:sz="0" w:space="0" w:color="auto"/>
                <w:left w:val="none" w:sz="0" w:space="0" w:color="auto"/>
                <w:bottom w:val="none" w:sz="0" w:space="0" w:color="auto"/>
                <w:right w:val="none" w:sz="0" w:space="0" w:color="auto"/>
              </w:divBdr>
              <w:divsChild>
                <w:div w:id="1201894110">
                  <w:marLeft w:val="0"/>
                  <w:marRight w:val="0"/>
                  <w:marTop w:val="0"/>
                  <w:marBottom w:val="0"/>
                  <w:divBdr>
                    <w:top w:val="none" w:sz="0" w:space="0" w:color="auto"/>
                    <w:left w:val="none" w:sz="0" w:space="0" w:color="auto"/>
                    <w:bottom w:val="none" w:sz="0" w:space="0" w:color="auto"/>
                    <w:right w:val="none" w:sz="0" w:space="0" w:color="auto"/>
                  </w:divBdr>
                  <w:divsChild>
                    <w:div w:id="1630863492">
                      <w:marLeft w:val="0"/>
                      <w:marRight w:val="0"/>
                      <w:marTop w:val="0"/>
                      <w:marBottom w:val="0"/>
                      <w:divBdr>
                        <w:top w:val="none" w:sz="0" w:space="0" w:color="auto"/>
                        <w:left w:val="none" w:sz="0" w:space="0" w:color="auto"/>
                        <w:bottom w:val="none" w:sz="0" w:space="0" w:color="auto"/>
                        <w:right w:val="none" w:sz="0" w:space="0" w:color="auto"/>
                      </w:divBdr>
                      <w:divsChild>
                        <w:div w:id="3663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588227">
      <w:bodyDiv w:val="1"/>
      <w:marLeft w:val="0"/>
      <w:marRight w:val="0"/>
      <w:marTop w:val="0"/>
      <w:marBottom w:val="0"/>
      <w:divBdr>
        <w:top w:val="none" w:sz="0" w:space="0" w:color="auto"/>
        <w:left w:val="none" w:sz="0" w:space="0" w:color="auto"/>
        <w:bottom w:val="none" w:sz="0" w:space="0" w:color="auto"/>
        <w:right w:val="none" w:sz="0" w:space="0" w:color="auto"/>
      </w:divBdr>
      <w:divsChild>
        <w:div w:id="1272515843">
          <w:marLeft w:val="0"/>
          <w:marRight w:val="0"/>
          <w:marTop w:val="0"/>
          <w:marBottom w:val="0"/>
          <w:divBdr>
            <w:top w:val="none" w:sz="0" w:space="0" w:color="auto"/>
            <w:left w:val="none" w:sz="0" w:space="0" w:color="auto"/>
            <w:bottom w:val="none" w:sz="0" w:space="0" w:color="auto"/>
            <w:right w:val="none" w:sz="0" w:space="0" w:color="auto"/>
          </w:divBdr>
        </w:div>
      </w:divsChild>
    </w:div>
    <w:div w:id="915360876">
      <w:bodyDiv w:val="1"/>
      <w:marLeft w:val="0"/>
      <w:marRight w:val="0"/>
      <w:marTop w:val="0"/>
      <w:marBottom w:val="0"/>
      <w:divBdr>
        <w:top w:val="none" w:sz="0" w:space="0" w:color="auto"/>
        <w:left w:val="none" w:sz="0" w:space="0" w:color="auto"/>
        <w:bottom w:val="none" w:sz="0" w:space="0" w:color="auto"/>
        <w:right w:val="none" w:sz="0" w:space="0" w:color="auto"/>
      </w:divBdr>
      <w:divsChild>
        <w:div w:id="1396393907">
          <w:marLeft w:val="0"/>
          <w:marRight w:val="0"/>
          <w:marTop w:val="0"/>
          <w:marBottom w:val="0"/>
          <w:divBdr>
            <w:top w:val="none" w:sz="0" w:space="0" w:color="auto"/>
            <w:left w:val="none" w:sz="0" w:space="0" w:color="auto"/>
            <w:bottom w:val="none" w:sz="0" w:space="0" w:color="auto"/>
            <w:right w:val="none" w:sz="0" w:space="0" w:color="auto"/>
          </w:divBdr>
        </w:div>
      </w:divsChild>
    </w:div>
    <w:div w:id="920410681">
      <w:bodyDiv w:val="1"/>
      <w:marLeft w:val="0"/>
      <w:marRight w:val="0"/>
      <w:marTop w:val="0"/>
      <w:marBottom w:val="0"/>
      <w:divBdr>
        <w:top w:val="none" w:sz="0" w:space="0" w:color="auto"/>
        <w:left w:val="none" w:sz="0" w:space="0" w:color="auto"/>
        <w:bottom w:val="none" w:sz="0" w:space="0" w:color="auto"/>
        <w:right w:val="none" w:sz="0" w:space="0" w:color="auto"/>
      </w:divBdr>
      <w:divsChild>
        <w:div w:id="1079448966">
          <w:marLeft w:val="0"/>
          <w:marRight w:val="0"/>
          <w:marTop w:val="0"/>
          <w:marBottom w:val="0"/>
          <w:divBdr>
            <w:top w:val="none" w:sz="0" w:space="0" w:color="auto"/>
            <w:left w:val="none" w:sz="0" w:space="0" w:color="auto"/>
            <w:bottom w:val="none" w:sz="0" w:space="0" w:color="auto"/>
            <w:right w:val="none" w:sz="0" w:space="0" w:color="auto"/>
          </w:divBdr>
        </w:div>
      </w:divsChild>
    </w:div>
    <w:div w:id="922957224">
      <w:bodyDiv w:val="1"/>
      <w:marLeft w:val="0"/>
      <w:marRight w:val="0"/>
      <w:marTop w:val="0"/>
      <w:marBottom w:val="0"/>
      <w:divBdr>
        <w:top w:val="none" w:sz="0" w:space="0" w:color="auto"/>
        <w:left w:val="none" w:sz="0" w:space="0" w:color="auto"/>
        <w:bottom w:val="none" w:sz="0" w:space="0" w:color="auto"/>
        <w:right w:val="none" w:sz="0" w:space="0" w:color="auto"/>
      </w:divBdr>
      <w:divsChild>
        <w:div w:id="2028482972">
          <w:marLeft w:val="0"/>
          <w:marRight w:val="0"/>
          <w:marTop w:val="0"/>
          <w:marBottom w:val="0"/>
          <w:divBdr>
            <w:top w:val="none" w:sz="0" w:space="0" w:color="auto"/>
            <w:left w:val="none" w:sz="0" w:space="0" w:color="auto"/>
            <w:bottom w:val="none" w:sz="0" w:space="0" w:color="auto"/>
            <w:right w:val="none" w:sz="0" w:space="0" w:color="auto"/>
          </w:divBdr>
          <w:divsChild>
            <w:div w:id="320156372">
              <w:marLeft w:val="0"/>
              <w:marRight w:val="0"/>
              <w:marTop w:val="0"/>
              <w:marBottom w:val="0"/>
              <w:divBdr>
                <w:top w:val="none" w:sz="0" w:space="0" w:color="auto"/>
                <w:left w:val="none" w:sz="0" w:space="0" w:color="auto"/>
                <w:bottom w:val="none" w:sz="0" w:space="0" w:color="auto"/>
                <w:right w:val="none" w:sz="0" w:space="0" w:color="auto"/>
              </w:divBdr>
              <w:divsChild>
                <w:div w:id="2133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453">
      <w:bodyDiv w:val="1"/>
      <w:marLeft w:val="0"/>
      <w:marRight w:val="0"/>
      <w:marTop w:val="0"/>
      <w:marBottom w:val="0"/>
      <w:divBdr>
        <w:top w:val="none" w:sz="0" w:space="0" w:color="auto"/>
        <w:left w:val="none" w:sz="0" w:space="0" w:color="auto"/>
        <w:bottom w:val="none" w:sz="0" w:space="0" w:color="auto"/>
        <w:right w:val="none" w:sz="0" w:space="0" w:color="auto"/>
      </w:divBdr>
    </w:div>
    <w:div w:id="948468606">
      <w:bodyDiv w:val="1"/>
      <w:marLeft w:val="0"/>
      <w:marRight w:val="0"/>
      <w:marTop w:val="0"/>
      <w:marBottom w:val="0"/>
      <w:divBdr>
        <w:top w:val="none" w:sz="0" w:space="0" w:color="auto"/>
        <w:left w:val="none" w:sz="0" w:space="0" w:color="auto"/>
        <w:bottom w:val="none" w:sz="0" w:space="0" w:color="auto"/>
        <w:right w:val="none" w:sz="0" w:space="0" w:color="auto"/>
      </w:divBdr>
    </w:div>
    <w:div w:id="953709708">
      <w:bodyDiv w:val="1"/>
      <w:marLeft w:val="0"/>
      <w:marRight w:val="0"/>
      <w:marTop w:val="0"/>
      <w:marBottom w:val="0"/>
      <w:divBdr>
        <w:top w:val="none" w:sz="0" w:space="0" w:color="auto"/>
        <w:left w:val="none" w:sz="0" w:space="0" w:color="auto"/>
        <w:bottom w:val="none" w:sz="0" w:space="0" w:color="auto"/>
        <w:right w:val="none" w:sz="0" w:space="0" w:color="auto"/>
      </w:divBdr>
      <w:divsChild>
        <w:div w:id="1103913759">
          <w:marLeft w:val="0"/>
          <w:marRight w:val="0"/>
          <w:marTop w:val="0"/>
          <w:marBottom w:val="0"/>
          <w:divBdr>
            <w:top w:val="none" w:sz="0" w:space="0" w:color="auto"/>
            <w:left w:val="none" w:sz="0" w:space="0" w:color="auto"/>
            <w:bottom w:val="none" w:sz="0" w:space="0" w:color="auto"/>
            <w:right w:val="none" w:sz="0" w:space="0" w:color="auto"/>
          </w:divBdr>
        </w:div>
        <w:div w:id="861550027">
          <w:marLeft w:val="0"/>
          <w:marRight w:val="0"/>
          <w:marTop w:val="0"/>
          <w:marBottom w:val="0"/>
          <w:divBdr>
            <w:top w:val="none" w:sz="0" w:space="0" w:color="auto"/>
            <w:left w:val="none" w:sz="0" w:space="0" w:color="auto"/>
            <w:bottom w:val="none" w:sz="0" w:space="0" w:color="auto"/>
            <w:right w:val="none" w:sz="0" w:space="0" w:color="auto"/>
          </w:divBdr>
        </w:div>
      </w:divsChild>
    </w:div>
    <w:div w:id="972716837">
      <w:bodyDiv w:val="1"/>
      <w:marLeft w:val="0"/>
      <w:marRight w:val="0"/>
      <w:marTop w:val="0"/>
      <w:marBottom w:val="0"/>
      <w:divBdr>
        <w:top w:val="none" w:sz="0" w:space="0" w:color="auto"/>
        <w:left w:val="none" w:sz="0" w:space="0" w:color="auto"/>
        <w:bottom w:val="none" w:sz="0" w:space="0" w:color="auto"/>
        <w:right w:val="none" w:sz="0" w:space="0" w:color="auto"/>
      </w:divBdr>
    </w:div>
    <w:div w:id="984897131">
      <w:bodyDiv w:val="1"/>
      <w:marLeft w:val="0"/>
      <w:marRight w:val="0"/>
      <w:marTop w:val="0"/>
      <w:marBottom w:val="0"/>
      <w:divBdr>
        <w:top w:val="none" w:sz="0" w:space="0" w:color="auto"/>
        <w:left w:val="none" w:sz="0" w:space="0" w:color="auto"/>
        <w:bottom w:val="none" w:sz="0" w:space="0" w:color="auto"/>
        <w:right w:val="none" w:sz="0" w:space="0" w:color="auto"/>
      </w:divBdr>
      <w:divsChild>
        <w:div w:id="2074964298">
          <w:marLeft w:val="0"/>
          <w:marRight w:val="0"/>
          <w:marTop w:val="0"/>
          <w:marBottom w:val="0"/>
          <w:divBdr>
            <w:top w:val="none" w:sz="0" w:space="0" w:color="auto"/>
            <w:left w:val="none" w:sz="0" w:space="0" w:color="auto"/>
            <w:bottom w:val="none" w:sz="0" w:space="0" w:color="auto"/>
            <w:right w:val="none" w:sz="0" w:space="0" w:color="auto"/>
          </w:divBdr>
        </w:div>
      </w:divsChild>
    </w:div>
    <w:div w:id="994455376">
      <w:bodyDiv w:val="1"/>
      <w:marLeft w:val="0"/>
      <w:marRight w:val="0"/>
      <w:marTop w:val="0"/>
      <w:marBottom w:val="0"/>
      <w:divBdr>
        <w:top w:val="none" w:sz="0" w:space="0" w:color="auto"/>
        <w:left w:val="none" w:sz="0" w:space="0" w:color="auto"/>
        <w:bottom w:val="none" w:sz="0" w:space="0" w:color="auto"/>
        <w:right w:val="none" w:sz="0" w:space="0" w:color="auto"/>
      </w:divBdr>
    </w:div>
    <w:div w:id="995961563">
      <w:bodyDiv w:val="1"/>
      <w:marLeft w:val="0"/>
      <w:marRight w:val="0"/>
      <w:marTop w:val="0"/>
      <w:marBottom w:val="0"/>
      <w:divBdr>
        <w:top w:val="none" w:sz="0" w:space="0" w:color="auto"/>
        <w:left w:val="none" w:sz="0" w:space="0" w:color="auto"/>
        <w:bottom w:val="none" w:sz="0" w:space="0" w:color="auto"/>
        <w:right w:val="none" w:sz="0" w:space="0" w:color="auto"/>
      </w:divBdr>
      <w:divsChild>
        <w:div w:id="128135213">
          <w:marLeft w:val="0"/>
          <w:marRight w:val="0"/>
          <w:marTop w:val="0"/>
          <w:marBottom w:val="0"/>
          <w:divBdr>
            <w:top w:val="none" w:sz="0" w:space="0" w:color="auto"/>
            <w:left w:val="none" w:sz="0" w:space="0" w:color="auto"/>
            <w:bottom w:val="none" w:sz="0" w:space="0" w:color="auto"/>
            <w:right w:val="none" w:sz="0" w:space="0" w:color="auto"/>
          </w:divBdr>
          <w:divsChild>
            <w:div w:id="2065130993">
              <w:marLeft w:val="0"/>
              <w:marRight w:val="0"/>
              <w:marTop w:val="0"/>
              <w:marBottom w:val="0"/>
              <w:divBdr>
                <w:top w:val="none" w:sz="0" w:space="0" w:color="auto"/>
                <w:left w:val="none" w:sz="0" w:space="0" w:color="auto"/>
                <w:bottom w:val="none" w:sz="0" w:space="0" w:color="auto"/>
                <w:right w:val="none" w:sz="0" w:space="0" w:color="auto"/>
              </w:divBdr>
              <w:divsChild>
                <w:div w:id="12821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26233">
      <w:bodyDiv w:val="1"/>
      <w:marLeft w:val="0"/>
      <w:marRight w:val="0"/>
      <w:marTop w:val="0"/>
      <w:marBottom w:val="0"/>
      <w:divBdr>
        <w:top w:val="none" w:sz="0" w:space="0" w:color="auto"/>
        <w:left w:val="none" w:sz="0" w:space="0" w:color="auto"/>
        <w:bottom w:val="none" w:sz="0" w:space="0" w:color="auto"/>
        <w:right w:val="none" w:sz="0" w:space="0" w:color="auto"/>
      </w:divBdr>
      <w:divsChild>
        <w:div w:id="2118986706">
          <w:marLeft w:val="0"/>
          <w:marRight w:val="0"/>
          <w:marTop w:val="0"/>
          <w:marBottom w:val="0"/>
          <w:divBdr>
            <w:top w:val="none" w:sz="0" w:space="0" w:color="auto"/>
            <w:left w:val="none" w:sz="0" w:space="0" w:color="auto"/>
            <w:bottom w:val="none" w:sz="0" w:space="0" w:color="auto"/>
            <w:right w:val="none" w:sz="0" w:space="0" w:color="auto"/>
          </w:divBdr>
        </w:div>
      </w:divsChild>
    </w:div>
    <w:div w:id="1033919499">
      <w:bodyDiv w:val="1"/>
      <w:marLeft w:val="0"/>
      <w:marRight w:val="0"/>
      <w:marTop w:val="0"/>
      <w:marBottom w:val="0"/>
      <w:divBdr>
        <w:top w:val="none" w:sz="0" w:space="0" w:color="auto"/>
        <w:left w:val="none" w:sz="0" w:space="0" w:color="auto"/>
        <w:bottom w:val="none" w:sz="0" w:space="0" w:color="auto"/>
        <w:right w:val="none" w:sz="0" w:space="0" w:color="auto"/>
      </w:divBdr>
      <w:divsChild>
        <w:div w:id="1706439558">
          <w:marLeft w:val="0"/>
          <w:marRight w:val="108"/>
          <w:marTop w:val="18"/>
          <w:marBottom w:val="108"/>
          <w:divBdr>
            <w:top w:val="none" w:sz="0" w:space="0" w:color="auto"/>
            <w:left w:val="none" w:sz="0" w:space="0" w:color="auto"/>
            <w:bottom w:val="none" w:sz="0" w:space="0" w:color="auto"/>
            <w:right w:val="none" w:sz="0" w:space="0" w:color="auto"/>
          </w:divBdr>
          <w:divsChild>
            <w:div w:id="1409183851">
              <w:marLeft w:val="0"/>
              <w:marRight w:val="0"/>
              <w:marTop w:val="0"/>
              <w:marBottom w:val="0"/>
              <w:divBdr>
                <w:top w:val="none" w:sz="0" w:space="0" w:color="auto"/>
                <w:left w:val="none" w:sz="0" w:space="0" w:color="auto"/>
                <w:bottom w:val="none" w:sz="0" w:space="0" w:color="auto"/>
                <w:right w:val="none" w:sz="0" w:space="0" w:color="auto"/>
              </w:divBdr>
              <w:divsChild>
                <w:div w:id="2026319043">
                  <w:marLeft w:val="0"/>
                  <w:marRight w:val="0"/>
                  <w:marTop w:val="0"/>
                  <w:marBottom w:val="0"/>
                  <w:divBdr>
                    <w:top w:val="none" w:sz="0" w:space="0" w:color="auto"/>
                    <w:left w:val="none" w:sz="0" w:space="0" w:color="auto"/>
                    <w:bottom w:val="none" w:sz="0" w:space="0" w:color="auto"/>
                    <w:right w:val="none" w:sz="0" w:space="0" w:color="auto"/>
                  </w:divBdr>
                  <w:divsChild>
                    <w:div w:id="686758055">
                      <w:marLeft w:val="0"/>
                      <w:marRight w:val="0"/>
                      <w:marTop w:val="0"/>
                      <w:marBottom w:val="0"/>
                      <w:divBdr>
                        <w:top w:val="none" w:sz="0" w:space="0" w:color="auto"/>
                        <w:left w:val="none" w:sz="0" w:space="0" w:color="auto"/>
                        <w:bottom w:val="none" w:sz="0" w:space="0" w:color="auto"/>
                        <w:right w:val="none" w:sz="0" w:space="0" w:color="auto"/>
                      </w:divBdr>
                      <w:divsChild>
                        <w:div w:id="6237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005533">
      <w:bodyDiv w:val="1"/>
      <w:marLeft w:val="0"/>
      <w:marRight w:val="0"/>
      <w:marTop w:val="0"/>
      <w:marBottom w:val="0"/>
      <w:divBdr>
        <w:top w:val="none" w:sz="0" w:space="0" w:color="auto"/>
        <w:left w:val="none" w:sz="0" w:space="0" w:color="auto"/>
        <w:bottom w:val="none" w:sz="0" w:space="0" w:color="auto"/>
        <w:right w:val="none" w:sz="0" w:space="0" w:color="auto"/>
      </w:divBdr>
      <w:divsChild>
        <w:div w:id="860165960">
          <w:marLeft w:val="0"/>
          <w:marRight w:val="0"/>
          <w:marTop w:val="0"/>
          <w:marBottom w:val="0"/>
          <w:divBdr>
            <w:top w:val="none" w:sz="0" w:space="0" w:color="auto"/>
            <w:left w:val="none" w:sz="0" w:space="0" w:color="auto"/>
            <w:bottom w:val="none" w:sz="0" w:space="0" w:color="auto"/>
            <w:right w:val="none" w:sz="0" w:space="0" w:color="auto"/>
          </w:divBdr>
          <w:divsChild>
            <w:div w:id="89159556">
              <w:marLeft w:val="0"/>
              <w:marRight w:val="0"/>
              <w:marTop w:val="0"/>
              <w:marBottom w:val="0"/>
              <w:divBdr>
                <w:top w:val="none" w:sz="0" w:space="0" w:color="auto"/>
                <w:left w:val="none" w:sz="0" w:space="0" w:color="auto"/>
                <w:bottom w:val="none" w:sz="0" w:space="0" w:color="auto"/>
                <w:right w:val="none" w:sz="0" w:space="0" w:color="auto"/>
              </w:divBdr>
              <w:divsChild>
                <w:div w:id="14258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7669">
      <w:bodyDiv w:val="1"/>
      <w:marLeft w:val="0"/>
      <w:marRight w:val="0"/>
      <w:marTop w:val="0"/>
      <w:marBottom w:val="0"/>
      <w:divBdr>
        <w:top w:val="none" w:sz="0" w:space="0" w:color="auto"/>
        <w:left w:val="none" w:sz="0" w:space="0" w:color="auto"/>
        <w:bottom w:val="none" w:sz="0" w:space="0" w:color="auto"/>
        <w:right w:val="none" w:sz="0" w:space="0" w:color="auto"/>
      </w:divBdr>
    </w:div>
    <w:div w:id="1079405930">
      <w:bodyDiv w:val="1"/>
      <w:marLeft w:val="0"/>
      <w:marRight w:val="0"/>
      <w:marTop w:val="0"/>
      <w:marBottom w:val="0"/>
      <w:divBdr>
        <w:top w:val="none" w:sz="0" w:space="0" w:color="auto"/>
        <w:left w:val="none" w:sz="0" w:space="0" w:color="auto"/>
        <w:bottom w:val="none" w:sz="0" w:space="0" w:color="auto"/>
        <w:right w:val="none" w:sz="0" w:space="0" w:color="auto"/>
      </w:divBdr>
      <w:divsChild>
        <w:div w:id="1129326459">
          <w:marLeft w:val="0"/>
          <w:marRight w:val="0"/>
          <w:marTop w:val="0"/>
          <w:marBottom w:val="0"/>
          <w:divBdr>
            <w:top w:val="none" w:sz="0" w:space="0" w:color="auto"/>
            <w:left w:val="none" w:sz="0" w:space="0" w:color="auto"/>
            <w:bottom w:val="none" w:sz="0" w:space="0" w:color="auto"/>
            <w:right w:val="none" w:sz="0" w:space="0" w:color="auto"/>
          </w:divBdr>
        </w:div>
      </w:divsChild>
    </w:div>
    <w:div w:id="1087769422">
      <w:bodyDiv w:val="1"/>
      <w:marLeft w:val="0"/>
      <w:marRight w:val="0"/>
      <w:marTop w:val="0"/>
      <w:marBottom w:val="0"/>
      <w:divBdr>
        <w:top w:val="none" w:sz="0" w:space="0" w:color="auto"/>
        <w:left w:val="none" w:sz="0" w:space="0" w:color="auto"/>
        <w:bottom w:val="none" w:sz="0" w:space="0" w:color="auto"/>
        <w:right w:val="none" w:sz="0" w:space="0" w:color="auto"/>
      </w:divBdr>
      <w:divsChild>
        <w:div w:id="581450040">
          <w:marLeft w:val="0"/>
          <w:marRight w:val="108"/>
          <w:marTop w:val="18"/>
          <w:marBottom w:val="108"/>
          <w:divBdr>
            <w:top w:val="none" w:sz="0" w:space="0" w:color="auto"/>
            <w:left w:val="none" w:sz="0" w:space="0" w:color="auto"/>
            <w:bottom w:val="none" w:sz="0" w:space="0" w:color="auto"/>
            <w:right w:val="none" w:sz="0" w:space="0" w:color="auto"/>
          </w:divBdr>
          <w:divsChild>
            <w:div w:id="24521622">
              <w:marLeft w:val="0"/>
              <w:marRight w:val="0"/>
              <w:marTop w:val="0"/>
              <w:marBottom w:val="0"/>
              <w:divBdr>
                <w:top w:val="none" w:sz="0" w:space="0" w:color="auto"/>
                <w:left w:val="none" w:sz="0" w:space="0" w:color="auto"/>
                <w:bottom w:val="none" w:sz="0" w:space="0" w:color="auto"/>
                <w:right w:val="none" w:sz="0" w:space="0" w:color="auto"/>
              </w:divBdr>
              <w:divsChild>
                <w:div w:id="543299802">
                  <w:marLeft w:val="0"/>
                  <w:marRight w:val="0"/>
                  <w:marTop w:val="0"/>
                  <w:marBottom w:val="0"/>
                  <w:divBdr>
                    <w:top w:val="none" w:sz="0" w:space="0" w:color="auto"/>
                    <w:left w:val="none" w:sz="0" w:space="0" w:color="auto"/>
                    <w:bottom w:val="none" w:sz="0" w:space="0" w:color="auto"/>
                    <w:right w:val="none" w:sz="0" w:space="0" w:color="auto"/>
                  </w:divBdr>
                  <w:divsChild>
                    <w:div w:id="1388531572">
                      <w:marLeft w:val="0"/>
                      <w:marRight w:val="0"/>
                      <w:marTop w:val="0"/>
                      <w:marBottom w:val="0"/>
                      <w:divBdr>
                        <w:top w:val="none" w:sz="0" w:space="0" w:color="auto"/>
                        <w:left w:val="none" w:sz="0" w:space="0" w:color="auto"/>
                        <w:bottom w:val="none" w:sz="0" w:space="0" w:color="auto"/>
                        <w:right w:val="none" w:sz="0" w:space="0" w:color="auto"/>
                      </w:divBdr>
                      <w:divsChild>
                        <w:div w:id="14439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51050">
      <w:bodyDiv w:val="1"/>
      <w:marLeft w:val="0"/>
      <w:marRight w:val="0"/>
      <w:marTop w:val="0"/>
      <w:marBottom w:val="0"/>
      <w:divBdr>
        <w:top w:val="none" w:sz="0" w:space="0" w:color="auto"/>
        <w:left w:val="none" w:sz="0" w:space="0" w:color="auto"/>
        <w:bottom w:val="none" w:sz="0" w:space="0" w:color="auto"/>
        <w:right w:val="none" w:sz="0" w:space="0" w:color="auto"/>
      </w:divBdr>
    </w:div>
    <w:div w:id="1146821014">
      <w:bodyDiv w:val="1"/>
      <w:marLeft w:val="0"/>
      <w:marRight w:val="0"/>
      <w:marTop w:val="0"/>
      <w:marBottom w:val="0"/>
      <w:divBdr>
        <w:top w:val="none" w:sz="0" w:space="0" w:color="auto"/>
        <w:left w:val="none" w:sz="0" w:space="0" w:color="auto"/>
        <w:bottom w:val="none" w:sz="0" w:space="0" w:color="auto"/>
        <w:right w:val="none" w:sz="0" w:space="0" w:color="auto"/>
      </w:divBdr>
      <w:divsChild>
        <w:div w:id="86777673">
          <w:marLeft w:val="0"/>
          <w:marRight w:val="0"/>
          <w:marTop w:val="0"/>
          <w:marBottom w:val="0"/>
          <w:divBdr>
            <w:top w:val="none" w:sz="0" w:space="0" w:color="auto"/>
            <w:left w:val="none" w:sz="0" w:space="0" w:color="auto"/>
            <w:bottom w:val="none" w:sz="0" w:space="0" w:color="auto"/>
            <w:right w:val="none" w:sz="0" w:space="0" w:color="auto"/>
          </w:divBdr>
        </w:div>
      </w:divsChild>
    </w:div>
    <w:div w:id="1154682440">
      <w:bodyDiv w:val="1"/>
      <w:marLeft w:val="0"/>
      <w:marRight w:val="0"/>
      <w:marTop w:val="0"/>
      <w:marBottom w:val="0"/>
      <w:divBdr>
        <w:top w:val="none" w:sz="0" w:space="0" w:color="auto"/>
        <w:left w:val="none" w:sz="0" w:space="0" w:color="auto"/>
        <w:bottom w:val="none" w:sz="0" w:space="0" w:color="auto"/>
        <w:right w:val="none" w:sz="0" w:space="0" w:color="auto"/>
      </w:divBdr>
    </w:div>
    <w:div w:id="1156995314">
      <w:bodyDiv w:val="1"/>
      <w:marLeft w:val="0"/>
      <w:marRight w:val="0"/>
      <w:marTop w:val="0"/>
      <w:marBottom w:val="0"/>
      <w:divBdr>
        <w:top w:val="none" w:sz="0" w:space="0" w:color="auto"/>
        <w:left w:val="none" w:sz="0" w:space="0" w:color="auto"/>
        <w:bottom w:val="none" w:sz="0" w:space="0" w:color="auto"/>
        <w:right w:val="none" w:sz="0" w:space="0" w:color="auto"/>
      </w:divBdr>
      <w:divsChild>
        <w:div w:id="1172840235">
          <w:marLeft w:val="0"/>
          <w:marRight w:val="0"/>
          <w:marTop w:val="0"/>
          <w:marBottom w:val="0"/>
          <w:divBdr>
            <w:top w:val="none" w:sz="0" w:space="0" w:color="auto"/>
            <w:left w:val="none" w:sz="0" w:space="0" w:color="auto"/>
            <w:bottom w:val="none" w:sz="0" w:space="0" w:color="auto"/>
            <w:right w:val="none" w:sz="0" w:space="0" w:color="auto"/>
          </w:divBdr>
          <w:divsChild>
            <w:div w:id="12416323">
              <w:marLeft w:val="0"/>
              <w:marRight w:val="0"/>
              <w:marTop w:val="0"/>
              <w:marBottom w:val="0"/>
              <w:divBdr>
                <w:top w:val="none" w:sz="0" w:space="0" w:color="auto"/>
                <w:left w:val="none" w:sz="0" w:space="0" w:color="auto"/>
                <w:bottom w:val="none" w:sz="0" w:space="0" w:color="auto"/>
                <w:right w:val="none" w:sz="0" w:space="0" w:color="auto"/>
              </w:divBdr>
              <w:divsChild>
                <w:div w:id="721902732">
                  <w:marLeft w:val="0"/>
                  <w:marRight w:val="0"/>
                  <w:marTop w:val="0"/>
                  <w:marBottom w:val="0"/>
                  <w:divBdr>
                    <w:top w:val="none" w:sz="0" w:space="0" w:color="auto"/>
                    <w:left w:val="none" w:sz="0" w:space="0" w:color="auto"/>
                    <w:bottom w:val="none" w:sz="0" w:space="0" w:color="auto"/>
                    <w:right w:val="none" w:sz="0" w:space="0" w:color="auto"/>
                  </w:divBdr>
                  <w:divsChild>
                    <w:div w:id="11594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07882">
      <w:bodyDiv w:val="1"/>
      <w:marLeft w:val="0"/>
      <w:marRight w:val="0"/>
      <w:marTop w:val="0"/>
      <w:marBottom w:val="0"/>
      <w:divBdr>
        <w:top w:val="none" w:sz="0" w:space="0" w:color="auto"/>
        <w:left w:val="none" w:sz="0" w:space="0" w:color="auto"/>
        <w:bottom w:val="none" w:sz="0" w:space="0" w:color="auto"/>
        <w:right w:val="none" w:sz="0" w:space="0" w:color="auto"/>
      </w:divBdr>
    </w:div>
    <w:div w:id="1159731721">
      <w:bodyDiv w:val="1"/>
      <w:marLeft w:val="0"/>
      <w:marRight w:val="0"/>
      <w:marTop w:val="0"/>
      <w:marBottom w:val="0"/>
      <w:divBdr>
        <w:top w:val="none" w:sz="0" w:space="0" w:color="auto"/>
        <w:left w:val="none" w:sz="0" w:space="0" w:color="auto"/>
        <w:bottom w:val="none" w:sz="0" w:space="0" w:color="auto"/>
        <w:right w:val="none" w:sz="0" w:space="0" w:color="auto"/>
      </w:divBdr>
    </w:div>
    <w:div w:id="1170364707">
      <w:bodyDiv w:val="1"/>
      <w:marLeft w:val="0"/>
      <w:marRight w:val="0"/>
      <w:marTop w:val="0"/>
      <w:marBottom w:val="0"/>
      <w:divBdr>
        <w:top w:val="none" w:sz="0" w:space="0" w:color="auto"/>
        <w:left w:val="none" w:sz="0" w:space="0" w:color="auto"/>
        <w:bottom w:val="none" w:sz="0" w:space="0" w:color="auto"/>
        <w:right w:val="none" w:sz="0" w:space="0" w:color="auto"/>
      </w:divBdr>
    </w:div>
    <w:div w:id="1170827785">
      <w:bodyDiv w:val="1"/>
      <w:marLeft w:val="0"/>
      <w:marRight w:val="0"/>
      <w:marTop w:val="0"/>
      <w:marBottom w:val="0"/>
      <w:divBdr>
        <w:top w:val="none" w:sz="0" w:space="0" w:color="auto"/>
        <w:left w:val="none" w:sz="0" w:space="0" w:color="auto"/>
        <w:bottom w:val="none" w:sz="0" w:space="0" w:color="auto"/>
        <w:right w:val="none" w:sz="0" w:space="0" w:color="auto"/>
      </w:divBdr>
      <w:divsChild>
        <w:div w:id="1984234374">
          <w:marLeft w:val="0"/>
          <w:marRight w:val="0"/>
          <w:marTop w:val="0"/>
          <w:marBottom w:val="0"/>
          <w:divBdr>
            <w:top w:val="none" w:sz="0" w:space="0" w:color="auto"/>
            <w:left w:val="none" w:sz="0" w:space="0" w:color="auto"/>
            <w:bottom w:val="none" w:sz="0" w:space="0" w:color="auto"/>
            <w:right w:val="none" w:sz="0" w:space="0" w:color="auto"/>
          </w:divBdr>
        </w:div>
      </w:divsChild>
    </w:div>
    <w:div w:id="1174881695">
      <w:bodyDiv w:val="1"/>
      <w:marLeft w:val="0"/>
      <w:marRight w:val="0"/>
      <w:marTop w:val="0"/>
      <w:marBottom w:val="0"/>
      <w:divBdr>
        <w:top w:val="none" w:sz="0" w:space="0" w:color="auto"/>
        <w:left w:val="none" w:sz="0" w:space="0" w:color="auto"/>
        <w:bottom w:val="none" w:sz="0" w:space="0" w:color="auto"/>
        <w:right w:val="none" w:sz="0" w:space="0" w:color="auto"/>
      </w:divBdr>
    </w:div>
    <w:div w:id="1178957260">
      <w:bodyDiv w:val="1"/>
      <w:marLeft w:val="0"/>
      <w:marRight w:val="0"/>
      <w:marTop w:val="0"/>
      <w:marBottom w:val="0"/>
      <w:divBdr>
        <w:top w:val="none" w:sz="0" w:space="0" w:color="auto"/>
        <w:left w:val="none" w:sz="0" w:space="0" w:color="auto"/>
        <w:bottom w:val="none" w:sz="0" w:space="0" w:color="auto"/>
        <w:right w:val="none" w:sz="0" w:space="0" w:color="auto"/>
      </w:divBdr>
    </w:div>
    <w:div w:id="1180898188">
      <w:bodyDiv w:val="1"/>
      <w:marLeft w:val="0"/>
      <w:marRight w:val="0"/>
      <w:marTop w:val="0"/>
      <w:marBottom w:val="0"/>
      <w:divBdr>
        <w:top w:val="none" w:sz="0" w:space="0" w:color="auto"/>
        <w:left w:val="none" w:sz="0" w:space="0" w:color="auto"/>
        <w:bottom w:val="none" w:sz="0" w:space="0" w:color="auto"/>
        <w:right w:val="none" w:sz="0" w:space="0" w:color="auto"/>
      </w:divBdr>
    </w:div>
    <w:div w:id="1218931414">
      <w:bodyDiv w:val="1"/>
      <w:marLeft w:val="0"/>
      <w:marRight w:val="0"/>
      <w:marTop w:val="0"/>
      <w:marBottom w:val="0"/>
      <w:divBdr>
        <w:top w:val="none" w:sz="0" w:space="0" w:color="auto"/>
        <w:left w:val="none" w:sz="0" w:space="0" w:color="auto"/>
        <w:bottom w:val="none" w:sz="0" w:space="0" w:color="auto"/>
        <w:right w:val="none" w:sz="0" w:space="0" w:color="auto"/>
      </w:divBdr>
      <w:divsChild>
        <w:div w:id="1677339673">
          <w:marLeft w:val="0"/>
          <w:marRight w:val="0"/>
          <w:marTop w:val="0"/>
          <w:marBottom w:val="0"/>
          <w:divBdr>
            <w:top w:val="none" w:sz="0" w:space="0" w:color="auto"/>
            <w:left w:val="none" w:sz="0" w:space="0" w:color="auto"/>
            <w:bottom w:val="none" w:sz="0" w:space="0" w:color="auto"/>
            <w:right w:val="none" w:sz="0" w:space="0" w:color="auto"/>
          </w:divBdr>
        </w:div>
      </w:divsChild>
    </w:div>
    <w:div w:id="1226381077">
      <w:bodyDiv w:val="1"/>
      <w:marLeft w:val="0"/>
      <w:marRight w:val="0"/>
      <w:marTop w:val="0"/>
      <w:marBottom w:val="0"/>
      <w:divBdr>
        <w:top w:val="none" w:sz="0" w:space="0" w:color="auto"/>
        <w:left w:val="none" w:sz="0" w:space="0" w:color="auto"/>
        <w:bottom w:val="none" w:sz="0" w:space="0" w:color="auto"/>
        <w:right w:val="none" w:sz="0" w:space="0" w:color="auto"/>
      </w:divBdr>
      <w:divsChild>
        <w:div w:id="503860164">
          <w:marLeft w:val="0"/>
          <w:marRight w:val="0"/>
          <w:marTop w:val="0"/>
          <w:marBottom w:val="0"/>
          <w:divBdr>
            <w:top w:val="none" w:sz="0" w:space="0" w:color="auto"/>
            <w:left w:val="none" w:sz="0" w:space="0" w:color="auto"/>
            <w:bottom w:val="none" w:sz="0" w:space="0" w:color="auto"/>
            <w:right w:val="none" w:sz="0" w:space="0" w:color="auto"/>
          </w:divBdr>
          <w:divsChild>
            <w:div w:id="825978465">
              <w:marLeft w:val="0"/>
              <w:marRight w:val="0"/>
              <w:marTop w:val="0"/>
              <w:marBottom w:val="0"/>
              <w:divBdr>
                <w:top w:val="none" w:sz="0" w:space="0" w:color="auto"/>
                <w:left w:val="none" w:sz="0" w:space="0" w:color="auto"/>
                <w:bottom w:val="none" w:sz="0" w:space="0" w:color="auto"/>
                <w:right w:val="none" w:sz="0" w:space="0" w:color="auto"/>
              </w:divBdr>
              <w:divsChild>
                <w:div w:id="2902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6098">
      <w:bodyDiv w:val="1"/>
      <w:marLeft w:val="0"/>
      <w:marRight w:val="0"/>
      <w:marTop w:val="0"/>
      <w:marBottom w:val="0"/>
      <w:divBdr>
        <w:top w:val="none" w:sz="0" w:space="0" w:color="auto"/>
        <w:left w:val="none" w:sz="0" w:space="0" w:color="auto"/>
        <w:bottom w:val="none" w:sz="0" w:space="0" w:color="auto"/>
        <w:right w:val="none" w:sz="0" w:space="0" w:color="auto"/>
      </w:divBdr>
      <w:divsChild>
        <w:div w:id="1537814276">
          <w:marLeft w:val="0"/>
          <w:marRight w:val="0"/>
          <w:marTop w:val="0"/>
          <w:marBottom w:val="0"/>
          <w:divBdr>
            <w:top w:val="none" w:sz="0" w:space="0" w:color="auto"/>
            <w:left w:val="none" w:sz="0" w:space="0" w:color="auto"/>
            <w:bottom w:val="none" w:sz="0" w:space="0" w:color="auto"/>
            <w:right w:val="none" w:sz="0" w:space="0" w:color="auto"/>
          </w:divBdr>
        </w:div>
      </w:divsChild>
    </w:div>
    <w:div w:id="1252738446">
      <w:bodyDiv w:val="1"/>
      <w:marLeft w:val="0"/>
      <w:marRight w:val="0"/>
      <w:marTop w:val="0"/>
      <w:marBottom w:val="0"/>
      <w:divBdr>
        <w:top w:val="none" w:sz="0" w:space="0" w:color="auto"/>
        <w:left w:val="none" w:sz="0" w:space="0" w:color="auto"/>
        <w:bottom w:val="none" w:sz="0" w:space="0" w:color="auto"/>
        <w:right w:val="none" w:sz="0" w:space="0" w:color="auto"/>
      </w:divBdr>
    </w:div>
    <w:div w:id="1265722145">
      <w:bodyDiv w:val="1"/>
      <w:marLeft w:val="0"/>
      <w:marRight w:val="0"/>
      <w:marTop w:val="0"/>
      <w:marBottom w:val="0"/>
      <w:divBdr>
        <w:top w:val="none" w:sz="0" w:space="0" w:color="auto"/>
        <w:left w:val="none" w:sz="0" w:space="0" w:color="auto"/>
        <w:bottom w:val="none" w:sz="0" w:space="0" w:color="auto"/>
        <w:right w:val="none" w:sz="0" w:space="0" w:color="auto"/>
      </w:divBdr>
      <w:divsChild>
        <w:div w:id="1236281439">
          <w:marLeft w:val="0"/>
          <w:marRight w:val="0"/>
          <w:marTop w:val="0"/>
          <w:marBottom w:val="0"/>
          <w:divBdr>
            <w:top w:val="none" w:sz="0" w:space="0" w:color="auto"/>
            <w:left w:val="none" w:sz="0" w:space="0" w:color="auto"/>
            <w:bottom w:val="none" w:sz="0" w:space="0" w:color="auto"/>
            <w:right w:val="none" w:sz="0" w:space="0" w:color="auto"/>
          </w:divBdr>
          <w:divsChild>
            <w:div w:id="975570653">
              <w:marLeft w:val="0"/>
              <w:marRight w:val="0"/>
              <w:marTop w:val="0"/>
              <w:marBottom w:val="0"/>
              <w:divBdr>
                <w:top w:val="none" w:sz="0" w:space="0" w:color="auto"/>
                <w:left w:val="none" w:sz="0" w:space="0" w:color="auto"/>
                <w:bottom w:val="none" w:sz="0" w:space="0" w:color="auto"/>
                <w:right w:val="none" w:sz="0" w:space="0" w:color="auto"/>
              </w:divBdr>
              <w:divsChild>
                <w:div w:id="8512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1017">
      <w:bodyDiv w:val="1"/>
      <w:marLeft w:val="0"/>
      <w:marRight w:val="0"/>
      <w:marTop w:val="0"/>
      <w:marBottom w:val="0"/>
      <w:divBdr>
        <w:top w:val="none" w:sz="0" w:space="0" w:color="auto"/>
        <w:left w:val="none" w:sz="0" w:space="0" w:color="auto"/>
        <w:bottom w:val="none" w:sz="0" w:space="0" w:color="auto"/>
        <w:right w:val="none" w:sz="0" w:space="0" w:color="auto"/>
      </w:divBdr>
    </w:div>
    <w:div w:id="1270505350">
      <w:bodyDiv w:val="1"/>
      <w:marLeft w:val="0"/>
      <w:marRight w:val="0"/>
      <w:marTop w:val="0"/>
      <w:marBottom w:val="0"/>
      <w:divBdr>
        <w:top w:val="none" w:sz="0" w:space="0" w:color="auto"/>
        <w:left w:val="none" w:sz="0" w:space="0" w:color="auto"/>
        <w:bottom w:val="none" w:sz="0" w:space="0" w:color="auto"/>
        <w:right w:val="none" w:sz="0" w:space="0" w:color="auto"/>
      </w:divBdr>
    </w:div>
    <w:div w:id="1274023393">
      <w:bodyDiv w:val="1"/>
      <w:marLeft w:val="0"/>
      <w:marRight w:val="0"/>
      <w:marTop w:val="0"/>
      <w:marBottom w:val="0"/>
      <w:divBdr>
        <w:top w:val="none" w:sz="0" w:space="0" w:color="auto"/>
        <w:left w:val="none" w:sz="0" w:space="0" w:color="auto"/>
        <w:bottom w:val="none" w:sz="0" w:space="0" w:color="auto"/>
        <w:right w:val="none" w:sz="0" w:space="0" w:color="auto"/>
      </w:divBdr>
    </w:div>
    <w:div w:id="1275484012">
      <w:bodyDiv w:val="1"/>
      <w:marLeft w:val="0"/>
      <w:marRight w:val="0"/>
      <w:marTop w:val="0"/>
      <w:marBottom w:val="0"/>
      <w:divBdr>
        <w:top w:val="none" w:sz="0" w:space="0" w:color="auto"/>
        <w:left w:val="none" w:sz="0" w:space="0" w:color="auto"/>
        <w:bottom w:val="none" w:sz="0" w:space="0" w:color="auto"/>
        <w:right w:val="none" w:sz="0" w:space="0" w:color="auto"/>
      </w:divBdr>
      <w:divsChild>
        <w:div w:id="412513030">
          <w:marLeft w:val="0"/>
          <w:marRight w:val="0"/>
          <w:marTop w:val="0"/>
          <w:marBottom w:val="0"/>
          <w:divBdr>
            <w:top w:val="none" w:sz="0" w:space="0" w:color="auto"/>
            <w:left w:val="none" w:sz="0" w:space="0" w:color="auto"/>
            <w:bottom w:val="none" w:sz="0" w:space="0" w:color="auto"/>
            <w:right w:val="none" w:sz="0" w:space="0" w:color="auto"/>
          </w:divBdr>
          <w:divsChild>
            <w:div w:id="1056203086">
              <w:marLeft w:val="0"/>
              <w:marRight w:val="0"/>
              <w:marTop w:val="0"/>
              <w:marBottom w:val="0"/>
              <w:divBdr>
                <w:top w:val="none" w:sz="0" w:space="0" w:color="auto"/>
                <w:left w:val="none" w:sz="0" w:space="0" w:color="auto"/>
                <w:bottom w:val="none" w:sz="0" w:space="0" w:color="auto"/>
                <w:right w:val="none" w:sz="0" w:space="0" w:color="auto"/>
              </w:divBdr>
              <w:divsChild>
                <w:div w:id="514346785">
                  <w:marLeft w:val="0"/>
                  <w:marRight w:val="0"/>
                  <w:marTop w:val="0"/>
                  <w:marBottom w:val="0"/>
                  <w:divBdr>
                    <w:top w:val="none" w:sz="0" w:space="0" w:color="auto"/>
                    <w:left w:val="none" w:sz="0" w:space="0" w:color="auto"/>
                    <w:bottom w:val="none" w:sz="0" w:space="0" w:color="auto"/>
                    <w:right w:val="none" w:sz="0" w:space="0" w:color="auto"/>
                  </w:divBdr>
                  <w:divsChild>
                    <w:div w:id="14635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463">
      <w:bodyDiv w:val="1"/>
      <w:marLeft w:val="0"/>
      <w:marRight w:val="0"/>
      <w:marTop w:val="0"/>
      <w:marBottom w:val="0"/>
      <w:divBdr>
        <w:top w:val="none" w:sz="0" w:space="0" w:color="auto"/>
        <w:left w:val="none" w:sz="0" w:space="0" w:color="auto"/>
        <w:bottom w:val="none" w:sz="0" w:space="0" w:color="auto"/>
        <w:right w:val="none" w:sz="0" w:space="0" w:color="auto"/>
      </w:divBdr>
      <w:divsChild>
        <w:div w:id="1881084804">
          <w:marLeft w:val="0"/>
          <w:marRight w:val="0"/>
          <w:marTop w:val="0"/>
          <w:marBottom w:val="0"/>
          <w:divBdr>
            <w:top w:val="none" w:sz="0" w:space="0" w:color="auto"/>
            <w:left w:val="none" w:sz="0" w:space="0" w:color="auto"/>
            <w:bottom w:val="none" w:sz="0" w:space="0" w:color="auto"/>
            <w:right w:val="none" w:sz="0" w:space="0" w:color="auto"/>
          </w:divBdr>
        </w:div>
      </w:divsChild>
    </w:div>
    <w:div w:id="1279213291">
      <w:bodyDiv w:val="1"/>
      <w:marLeft w:val="0"/>
      <w:marRight w:val="0"/>
      <w:marTop w:val="0"/>
      <w:marBottom w:val="0"/>
      <w:divBdr>
        <w:top w:val="none" w:sz="0" w:space="0" w:color="auto"/>
        <w:left w:val="none" w:sz="0" w:space="0" w:color="auto"/>
        <w:bottom w:val="none" w:sz="0" w:space="0" w:color="auto"/>
        <w:right w:val="none" w:sz="0" w:space="0" w:color="auto"/>
      </w:divBdr>
      <w:divsChild>
        <w:div w:id="2052797809">
          <w:marLeft w:val="0"/>
          <w:marRight w:val="0"/>
          <w:marTop w:val="0"/>
          <w:marBottom w:val="0"/>
          <w:divBdr>
            <w:top w:val="none" w:sz="0" w:space="0" w:color="auto"/>
            <w:left w:val="none" w:sz="0" w:space="0" w:color="auto"/>
            <w:bottom w:val="none" w:sz="0" w:space="0" w:color="auto"/>
            <w:right w:val="none" w:sz="0" w:space="0" w:color="auto"/>
          </w:divBdr>
          <w:divsChild>
            <w:div w:id="888614304">
              <w:marLeft w:val="0"/>
              <w:marRight w:val="0"/>
              <w:marTop w:val="0"/>
              <w:marBottom w:val="0"/>
              <w:divBdr>
                <w:top w:val="none" w:sz="0" w:space="0" w:color="auto"/>
                <w:left w:val="none" w:sz="0" w:space="0" w:color="auto"/>
                <w:bottom w:val="none" w:sz="0" w:space="0" w:color="auto"/>
                <w:right w:val="none" w:sz="0" w:space="0" w:color="auto"/>
              </w:divBdr>
              <w:divsChild>
                <w:div w:id="2019429365">
                  <w:marLeft w:val="0"/>
                  <w:marRight w:val="0"/>
                  <w:marTop w:val="0"/>
                  <w:marBottom w:val="0"/>
                  <w:divBdr>
                    <w:top w:val="none" w:sz="0" w:space="0" w:color="auto"/>
                    <w:left w:val="none" w:sz="0" w:space="0" w:color="auto"/>
                    <w:bottom w:val="none" w:sz="0" w:space="0" w:color="auto"/>
                    <w:right w:val="none" w:sz="0" w:space="0" w:color="auto"/>
                  </w:divBdr>
                  <w:divsChild>
                    <w:div w:id="15383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27087">
      <w:bodyDiv w:val="1"/>
      <w:marLeft w:val="0"/>
      <w:marRight w:val="0"/>
      <w:marTop w:val="0"/>
      <w:marBottom w:val="0"/>
      <w:divBdr>
        <w:top w:val="none" w:sz="0" w:space="0" w:color="auto"/>
        <w:left w:val="none" w:sz="0" w:space="0" w:color="auto"/>
        <w:bottom w:val="none" w:sz="0" w:space="0" w:color="auto"/>
        <w:right w:val="none" w:sz="0" w:space="0" w:color="auto"/>
      </w:divBdr>
      <w:divsChild>
        <w:div w:id="146434541">
          <w:marLeft w:val="0"/>
          <w:marRight w:val="0"/>
          <w:marTop w:val="0"/>
          <w:marBottom w:val="0"/>
          <w:divBdr>
            <w:top w:val="none" w:sz="0" w:space="0" w:color="auto"/>
            <w:left w:val="none" w:sz="0" w:space="0" w:color="auto"/>
            <w:bottom w:val="none" w:sz="0" w:space="0" w:color="auto"/>
            <w:right w:val="none" w:sz="0" w:space="0" w:color="auto"/>
          </w:divBdr>
          <w:divsChild>
            <w:div w:id="1020006521">
              <w:marLeft w:val="0"/>
              <w:marRight w:val="0"/>
              <w:marTop w:val="0"/>
              <w:marBottom w:val="0"/>
              <w:divBdr>
                <w:top w:val="none" w:sz="0" w:space="0" w:color="auto"/>
                <w:left w:val="none" w:sz="0" w:space="0" w:color="auto"/>
                <w:bottom w:val="none" w:sz="0" w:space="0" w:color="auto"/>
                <w:right w:val="none" w:sz="0" w:space="0" w:color="auto"/>
              </w:divBdr>
              <w:divsChild>
                <w:div w:id="430391022">
                  <w:marLeft w:val="0"/>
                  <w:marRight w:val="0"/>
                  <w:marTop w:val="0"/>
                  <w:marBottom w:val="0"/>
                  <w:divBdr>
                    <w:top w:val="none" w:sz="0" w:space="0" w:color="auto"/>
                    <w:left w:val="none" w:sz="0" w:space="0" w:color="auto"/>
                    <w:bottom w:val="none" w:sz="0" w:space="0" w:color="auto"/>
                    <w:right w:val="none" w:sz="0" w:space="0" w:color="auto"/>
                  </w:divBdr>
                  <w:divsChild>
                    <w:div w:id="11460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25691">
      <w:bodyDiv w:val="1"/>
      <w:marLeft w:val="0"/>
      <w:marRight w:val="0"/>
      <w:marTop w:val="0"/>
      <w:marBottom w:val="0"/>
      <w:divBdr>
        <w:top w:val="none" w:sz="0" w:space="0" w:color="auto"/>
        <w:left w:val="none" w:sz="0" w:space="0" w:color="auto"/>
        <w:bottom w:val="none" w:sz="0" w:space="0" w:color="auto"/>
        <w:right w:val="none" w:sz="0" w:space="0" w:color="auto"/>
      </w:divBdr>
      <w:divsChild>
        <w:div w:id="1886792342">
          <w:marLeft w:val="0"/>
          <w:marRight w:val="108"/>
          <w:marTop w:val="108"/>
          <w:marBottom w:val="108"/>
          <w:divBdr>
            <w:top w:val="none" w:sz="0" w:space="0" w:color="auto"/>
            <w:left w:val="none" w:sz="0" w:space="0" w:color="auto"/>
            <w:bottom w:val="none" w:sz="0" w:space="0" w:color="auto"/>
            <w:right w:val="none" w:sz="0" w:space="0" w:color="auto"/>
          </w:divBdr>
          <w:divsChild>
            <w:div w:id="363217057">
              <w:marLeft w:val="0"/>
              <w:marRight w:val="0"/>
              <w:marTop w:val="0"/>
              <w:marBottom w:val="0"/>
              <w:divBdr>
                <w:top w:val="none" w:sz="0" w:space="0" w:color="auto"/>
                <w:left w:val="none" w:sz="0" w:space="0" w:color="auto"/>
                <w:bottom w:val="none" w:sz="0" w:space="0" w:color="auto"/>
                <w:right w:val="none" w:sz="0" w:space="0" w:color="auto"/>
              </w:divBdr>
              <w:divsChild>
                <w:div w:id="748693492">
                  <w:marLeft w:val="0"/>
                  <w:marRight w:val="0"/>
                  <w:marTop w:val="0"/>
                  <w:marBottom w:val="0"/>
                  <w:divBdr>
                    <w:top w:val="none" w:sz="0" w:space="0" w:color="auto"/>
                    <w:left w:val="none" w:sz="0" w:space="0" w:color="auto"/>
                    <w:bottom w:val="none" w:sz="0" w:space="0" w:color="auto"/>
                    <w:right w:val="none" w:sz="0" w:space="0" w:color="auto"/>
                  </w:divBdr>
                </w:div>
                <w:div w:id="1499997618">
                  <w:marLeft w:val="0"/>
                  <w:marRight w:val="108"/>
                  <w:marTop w:val="18"/>
                  <w:marBottom w:val="108"/>
                  <w:divBdr>
                    <w:top w:val="none" w:sz="0" w:space="0" w:color="auto"/>
                    <w:left w:val="none" w:sz="0" w:space="0" w:color="auto"/>
                    <w:bottom w:val="none" w:sz="0" w:space="0" w:color="auto"/>
                    <w:right w:val="none" w:sz="0" w:space="0" w:color="auto"/>
                  </w:divBdr>
                  <w:divsChild>
                    <w:div w:id="526799653">
                      <w:marLeft w:val="0"/>
                      <w:marRight w:val="0"/>
                      <w:marTop w:val="0"/>
                      <w:marBottom w:val="0"/>
                      <w:divBdr>
                        <w:top w:val="none" w:sz="0" w:space="0" w:color="auto"/>
                        <w:left w:val="none" w:sz="0" w:space="0" w:color="auto"/>
                        <w:bottom w:val="none" w:sz="0" w:space="0" w:color="auto"/>
                        <w:right w:val="none" w:sz="0" w:space="0" w:color="auto"/>
                      </w:divBdr>
                      <w:divsChild>
                        <w:div w:id="14779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1958">
                  <w:marLeft w:val="0"/>
                  <w:marRight w:val="108"/>
                  <w:marTop w:val="108"/>
                  <w:marBottom w:val="108"/>
                  <w:divBdr>
                    <w:top w:val="none" w:sz="0" w:space="0" w:color="auto"/>
                    <w:left w:val="none" w:sz="0" w:space="0" w:color="auto"/>
                    <w:bottom w:val="none" w:sz="0" w:space="0" w:color="auto"/>
                    <w:right w:val="none" w:sz="0" w:space="0" w:color="auto"/>
                  </w:divBdr>
                  <w:divsChild>
                    <w:div w:id="1264150443">
                      <w:marLeft w:val="0"/>
                      <w:marRight w:val="0"/>
                      <w:marTop w:val="0"/>
                      <w:marBottom w:val="0"/>
                      <w:divBdr>
                        <w:top w:val="none" w:sz="0" w:space="0" w:color="auto"/>
                        <w:left w:val="none" w:sz="0" w:space="0" w:color="auto"/>
                        <w:bottom w:val="none" w:sz="0" w:space="0" w:color="auto"/>
                        <w:right w:val="none" w:sz="0" w:space="0" w:color="auto"/>
                      </w:divBdr>
                      <w:divsChild>
                        <w:div w:id="7221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2763">
                  <w:marLeft w:val="0"/>
                  <w:marRight w:val="108"/>
                  <w:marTop w:val="108"/>
                  <w:marBottom w:val="108"/>
                  <w:divBdr>
                    <w:top w:val="none" w:sz="0" w:space="0" w:color="auto"/>
                    <w:left w:val="none" w:sz="0" w:space="0" w:color="auto"/>
                    <w:bottom w:val="none" w:sz="0" w:space="0" w:color="auto"/>
                    <w:right w:val="none" w:sz="0" w:space="0" w:color="auto"/>
                  </w:divBdr>
                  <w:divsChild>
                    <w:div w:id="185413600">
                      <w:marLeft w:val="0"/>
                      <w:marRight w:val="0"/>
                      <w:marTop w:val="0"/>
                      <w:marBottom w:val="0"/>
                      <w:divBdr>
                        <w:top w:val="none" w:sz="0" w:space="0" w:color="auto"/>
                        <w:left w:val="none" w:sz="0" w:space="0" w:color="auto"/>
                        <w:bottom w:val="none" w:sz="0" w:space="0" w:color="auto"/>
                        <w:right w:val="none" w:sz="0" w:space="0" w:color="auto"/>
                      </w:divBdr>
                      <w:divsChild>
                        <w:div w:id="5057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128">
                  <w:marLeft w:val="0"/>
                  <w:marRight w:val="108"/>
                  <w:marTop w:val="108"/>
                  <w:marBottom w:val="108"/>
                  <w:divBdr>
                    <w:top w:val="none" w:sz="0" w:space="0" w:color="auto"/>
                    <w:left w:val="none" w:sz="0" w:space="0" w:color="auto"/>
                    <w:bottom w:val="none" w:sz="0" w:space="0" w:color="auto"/>
                    <w:right w:val="none" w:sz="0" w:space="0" w:color="auto"/>
                  </w:divBdr>
                  <w:divsChild>
                    <w:div w:id="79956962">
                      <w:marLeft w:val="0"/>
                      <w:marRight w:val="0"/>
                      <w:marTop w:val="0"/>
                      <w:marBottom w:val="0"/>
                      <w:divBdr>
                        <w:top w:val="none" w:sz="0" w:space="0" w:color="auto"/>
                        <w:left w:val="none" w:sz="0" w:space="0" w:color="auto"/>
                        <w:bottom w:val="none" w:sz="0" w:space="0" w:color="auto"/>
                        <w:right w:val="none" w:sz="0" w:space="0" w:color="auto"/>
                      </w:divBdr>
                      <w:divsChild>
                        <w:div w:id="7076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79612">
                  <w:marLeft w:val="0"/>
                  <w:marRight w:val="108"/>
                  <w:marTop w:val="108"/>
                  <w:marBottom w:val="108"/>
                  <w:divBdr>
                    <w:top w:val="none" w:sz="0" w:space="0" w:color="auto"/>
                    <w:left w:val="none" w:sz="0" w:space="0" w:color="auto"/>
                    <w:bottom w:val="none" w:sz="0" w:space="0" w:color="auto"/>
                    <w:right w:val="none" w:sz="0" w:space="0" w:color="auto"/>
                  </w:divBdr>
                  <w:divsChild>
                    <w:div w:id="767578543">
                      <w:marLeft w:val="0"/>
                      <w:marRight w:val="0"/>
                      <w:marTop w:val="0"/>
                      <w:marBottom w:val="0"/>
                      <w:divBdr>
                        <w:top w:val="none" w:sz="0" w:space="0" w:color="auto"/>
                        <w:left w:val="none" w:sz="0" w:space="0" w:color="auto"/>
                        <w:bottom w:val="none" w:sz="0" w:space="0" w:color="auto"/>
                        <w:right w:val="none" w:sz="0" w:space="0" w:color="auto"/>
                      </w:divBdr>
                      <w:divsChild>
                        <w:div w:id="769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7574">
                  <w:marLeft w:val="0"/>
                  <w:marRight w:val="108"/>
                  <w:marTop w:val="108"/>
                  <w:marBottom w:val="108"/>
                  <w:divBdr>
                    <w:top w:val="none" w:sz="0" w:space="0" w:color="auto"/>
                    <w:left w:val="none" w:sz="0" w:space="0" w:color="auto"/>
                    <w:bottom w:val="none" w:sz="0" w:space="0" w:color="auto"/>
                    <w:right w:val="none" w:sz="0" w:space="0" w:color="auto"/>
                  </w:divBdr>
                  <w:divsChild>
                    <w:div w:id="195193937">
                      <w:marLeft w:val="0"/>
                      <w:marRight w:val="0"/>
                      <w:marTop w:val="0"/>
                      <w:marBottom w:val="0"/>
                      <w:divBdr>
                        <w:top w:val="none" w:sz="0" w:space="0" w:color="auto"/>
                        <w:left w:val="none" w:sz="0" w:space="0" w:color="auto"/>
                        <w:bottom w:val="none" w:sz="0" w:space="0" w:color="auto"/>
                        <w:right w:val="none" w:sz="0" w:space="0" w:color="auto"/>
                      </w:divBdr>
                      <w:divsChild>
                        <w:div w:id="13777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103452">
      <w:bodyDiv w:val="1"/>
      <w:marLeft w:val="0"/>
      <w:marRight w:val="0"/>
      <w:marTop w:val="0"/>
      <w:marBottom w:val="0"/>
      <w:divBdr>
        <w:top w:val="none" w:sz="0" w:space="0" w:color="auto"/>
        <w:left w:val="none" w:sz="0" w:space="0" w:color="auto"/>
        <w:bottom w:val="none" w:sz="0" w:space="0" w:color="auto"/>
        <w:right w:val="none" w:sz="0" w:space="0" w:color="auto"/>
      </w:divBdr>
    </w:div>
    <w:div w:id="1304693450">
      <w:bodyDiv w:val="1"/>
      <w:marLeft w:val="0"/>
      <w:marRight w:val="0"/>
      <w:marTop w:val="0"/>
      <w:marBottom w:val="0"/>
      <w:divBdr>
        <w:top w:val="none" w:sz="0" w:space="0" w:color="auto"/>
        <w:left w:val="none" w:sz="0" w:space="0" w:color="auto"/>
        <w:bottom w:val="none" w:sz="0" w:space="0" w:color="auto"/>
        <w:right w:val="none" w:sz="0" w:space="0" w:color="auto"/>
      </w:divBdr>
      <w:divsChild>
        <w:div w:id="1450315926">
          <w:marLeft w:val="0"/>
          <w:marRight w:val="108"/>
          <w:marTop w:val="18"/>
          <w:marBottom w:val="108"/>
          <w:divBdr>
            <w:top w:val="none" w:sz="0" w:space="0" w:color="auto"/>
            <w:left w:val="none" w:sz="0" w:space="0" w:color="auto"/>
            <w:bottom w:val="none" w:sz="0" w:space="0" w:color="auto"/>
            <w:right w:val="none" w:sz="0" w:space="0" w:color="auto"/>
          </w:divBdr>
          <w:divsChild>
            <w:div w:id="202330387">
              <w:marLeft w:val="0"/>
              <w:marRight w:val="0"/>
              <w:marTop w:val="0"/>
              <w:marBottom w:val="0"/>
              <w:divBdr>
                <w:top w:val="none" w:sz="0" w:space="0" w:color="auto"/>
                <w:left w:val="none" w:sz="0" w:space="0" w:color="auto"/>
                <w:bottom w:val="none" w:sz="0" w:space="0" w:color="auto"/>
                <w:right w:val="none" w:sz="0" w:space="0" w:color="auto"/>
              </w:divBdr>
              <w:divsChild>
                <w:div w:id="1773743855">
                  <w:marLeft w:val="0"/>
                  <w:marRight w:val="0"/>
                  <w:marTop w:val="0"/>
                  <w:marBottom w:val="0"/>
                  <w:divBdr>
                    <w:top w:val="none" w:sz="0" w:space="0" w:color="auto"/>
                    <w:left w:val="none" w:sz="0" w:space="0" w:color="auto"/>
                    <w:bottom w:val="none" w:sz="0" w:space="0" w:color="auto"/>
                    <w:right w:val="none" w:sz="0" w:space="0" w:color="auto"/>
                  </w:divBdr>
                  <w:divsChild>
                    <w:div w:id="448553104">
                      <w:marLeft w:val="0"/>
                      <w:marRight w:val="0"/>
                      <w:marTop w:val="0"/>
                      <w:marBottom w:val="0"/>
                      <w:divBdr>
                        <w:top w:val="none" w:sz="0" w:space="0" w:color="auto"/>
                        <w:left w:val="none" w:sz="0" w:space="0" w:color="auto"/>
                        <w:bottom w:val="none" w:sz="0" w:space="0" w:color="auto"/>
                        <w:right w:val="none" w:sz="0" w:space="0" w:color="auto"/>
                      </w:divBdr>
                      <w:divsChild>
                        <w:div w:id="4002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5056">
      <w:bodyDiv w:val="1"/>
      <w:marLeft w:val="0"/>
      <w:marRight w:val="0"/>
      <w:marTop w:val="0"/>
      <w:marBottom w:val="0"/>
      <w:divBdr>
        <w:top w:val="none" w:sz="0" w:space="0" w:color="auto"/>
        <w:left w:val="none" w:sz="0" w:space="0" w:color="auto"/>
        <w:bottom w:val="none" w:sz="0" w:space="0" w:color="auto"/>
        <w:right w:val="none" w:sz="0" w:space="0" w:color="auto"/>
      </w:divBdr>
    </w:div>
    <w:div w:id="1323702671">
      <w:bodyDiv w:val="1"/>
      <w:marLeft w:val="0"/>
      <w:marRight w:val="0"/>
      <w:marTop w:val="0"/>
      <w:marBottom w:val="0"/>
      <w:divBdr>
        <w:top w:val="none" w:sz="0" w:space="0" w:color="auto"/>
        <w:left w:val="none" w:sz="0" w:space="0" w:color="auto"/>
        <w:bottom w:val="none" w:sz="0" w:space="0" w:color="auto"/>
        <w:right w:val="none" w:sz="0" w:space="0" w:color="auto"/>
      </w:divBdr>
    </w:div>
    <w:div w:id="1323966965">
      <w:bodyDiv w:val="1"/>
      <w:marLeft w:val="0"/>
      <w:marRight w:val="0"/>
      <w:marTop w:val="0"/>
      <w:marBottom w:val="0"/>
      <w:divBdr>
        <w:top w:val="none" w:sz="0" w:space="0" w:color="auto"/>
        <w:left w:val="none" w:sz="0" w:space="0" w:color="auto"/>
        <w:bottom w:val="none" w:sz="0" w:space="0" w:color="auto"/>
        <w:right w:val="none" w:sz="0" w:space="0" w:color="auto"/>
      </w:divBdr>
      <w:divsChild>
        <w:div w:id="543834575">
          <w:marLeft w:val="0"/>
          <w:marRight w:val="0"/>
          <w:marTop w:val="0"/>
          <w:marBottom w:val="0"/>
          <w:divBdr>
            <w:top w:val="none" w:sz="0" w:space="0" w:color="auto"/>
            <w:left w:val="none" w:sz="0" w:space="0" w:color="auto"/>
            <w:bottom w:val="none" w:sz="0" w:space="0" w:color="auto"/>
            <w:right w:val="none" w:sz="0" w:space="0" w:color="auto"/>
          </w:divBdr>
        </w:div>
      </w:divsChild>
    </w:div>
    <w:div w:id="1330250945">
      <w:bodyDiv w:val="1"/>
      <w:marLeft w:val="0"/>
      <w:marRight w:val="0"/>
      <w:marTop w:val="0"/>
      <w:marBottom w:val="0"/>
      <w:divBdr>
        <w:top w:val="none" w:sz="0" w:space="0" w:color="auto"/>
        <w:left w:val="none" w:sz="0" w:space="0" w:color="auto"/>
        <w:bottom w:val="none" w:sz="0" w:space="0" w:color="auto"/>
        <w:right w:val="none" w:sz="0" w:space="0" w:color="auto"/>
      </w:divBdr>
    </w:div>
    <w:div w:id="1336419833">
      <w:bodyDiv w:val="1"/>
      <w:marLeft w:val="0"/>
      <w:marRight w:val="0"/>
      <w:marTop w:val="0"/>
      <w:marBottom w:val="0"/>
      <w:divBdr>
        <w:top w:val="none" w:sz="0" w:space="0" w:color="auto"/>
        <w:left w:val="none" w:sz="0" w:space="0" w:color="auto"/>
        <w:bottom w:val="none" w:sz="0" w:space="0" w:color="auto"/>
        <w:right w:val="none" w:sz="0" w:space="0" w:color="auto"/>
      </w:divBdr>
      <w:divsChild>
        <w:div w:id="1228567962">
          <w:marLeft w:val="0"/>
          <w:marRight w:val="108"/>
          <w:marTop w:val="18"/>
          <w:marBottom w:val="108"/>
          <w:divBdr>
            <w:top w:val="none" w:sz="0" w:space="0" w:color="auto"/>
            <w:left w:val="none" w:sz="0" w:space="0" w:color="auto"/>
            <w:bottom w:val="none" w:sz="0" w:space="0" w:color="auto"/>
            <w:right w:val="none" w:sz="0" w:space="0" w:color="auto"/>
          </w:divBdr>
          <w:divsChild>
            <w:div w:id="1869446538">
              <w:marLeft w:val="0"/>
              <w:marRight w:val="0"/>
              <w:marTop w:val="0"/>
              <w:marBottom w:val="0"/>
              <w:divBdr>
                <w:top w:val="none" w:sz="0" w:space="0" w:color="auto"/>
                <w:left w:val="none" w:sz="0" w:space="0" w:color="auto"/>
                <w:bottom w:val="none" w:sz="0" w:space="0" w:color="auto"/>
                <w:right w:val="none" w:sz="0" w:space="0" w:color="auto"/>
              </w:divBdr>
              <w:divsChild>
                <w:div w:id="1479035502">
                  <w:marLeft w:val="0"/>
                  <w:marRight w:val="0"/>
                  <w:marTop w:val="0"/>
                  <w:marBottom w:val="0"/>
                  <w:divBdr>
                    <w:top w:val="none" w:sz="0" w:space="0" w:color="auto"/>
                    <w:left w:val="none" w:sz="0" w:space="0" w:color="auto"/>
                    <w:bottom w:val="none" w:sz="0" w:space="0" w:color="auto"/>
                    <w:right w:val="none" w:sz="0" w:space="0" w:color="auto"/>
                  </w:divBdr>
                  <w:divsChild>
                    <w:div w:id="89934718">
                      <w:marLeft w:val="0"/>
                      <w:marRight w:val="0"/>
                      <w:marTop w:val="0"/>
                      <w:marBottom w:val="0"/>
                      <w:divBdr>
                        <w:top w:val="none" w:sz="0" w:space="0" w:color="auto"/>
                        <w:left w:val="none" w:sz="0" w:space="0" w:color="auto"/>
                        <w:bottom w:val="none" w:sz="0" w:space="0" w:color="auto"/>
                        <w:right w:val="none" w:sz="0" w:space="0" w:color="auto"/>
                      </w:divBdr>
                      <w:divsChild>
                        <w:div w:id="11158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141924">
      <w:bodyDiv w:val="1"/>
      <w:marLeft w:val="0"/>
      <w:marRight w:val="0"/>
      <w:marTop w:val="0"/>
      <w:marBottom w:val="0"/>
      <w:divBdr>
        <w:top w:val="none" w:sz="0" w:space="0" w:color="auto"/>
        <w:left w:val="none" w:sz="0" w:space="0" w:color="auto"/>
        <w:bottom w:val="none" w:sz="0" w:space="0" w:color="auto"/>
        <w:right w:val="none" w:sz="0" w:space="0" w:color="auto"/>
      </w:divBdr>
      <w:divsChild>
        <w:div w:id="698969548">
          <w:marLeft w:val="0"/>
          <w:marRight w:val="0"/>
          <w:marTop w:val="0"/>
          <w:marBottom w:val="0"/>
          <w:divBdr>
            <w:top w:val="none" w:sz="0" w:space="0" w:color="auto"/>
            <w:left w:val="none" w:sz="0" w:space="0" w:color="auto"/>
            <w:bottom w:val="none" w:sz="0" w:space="0" w:color="auto"/>
            <w:right w:val="none" w:sz="0" w:space="0" w:color="auto"/>
          </w:divBdr>
          <w:divsChild>
            <w:div w:id="48116787">
              <w:marLeft w:val="0"/>
              <w:marRight w:val="0"/>
              <w:marTop w:val="0"/>
              <w:marBottom w:val="0"/>
              <w:divBdr>
                <w:top w:val="none" w:sz="0" w:space="0" w:color="auto"/>
                <w:left w:val="none" w:sz="0" w:space="0" w:color="auto"/>
                <w:bottom w:val="none" w:sz="0" w:space="0" w:color="auto"/>
                <w:right w:val="none" w:sz="0" w:space="0" w:color="auto"/>
              </w:divBdr>
              <w:divsChild>
                <w:div w:id="939021011">
                  <w:marLeft w:val="0"/>
                  <w:marRight w:val="0"/>
                  <w:marTop w:val="0"/>
                  <w:marBottom w:val="0"/>
                  <w:divBdr>
                    <w:top w:val="none" w:sz="0" w:space="0" w:color="auto"/>
                    <w:left w:val="none" w:sz="0" w:space="0" w:color="auto"/>
                    <w:bottom w:val="none" w:sz="0" w:space="0" w:color="auto"/>
                    <w:right w:val="none" w:sz="0" w:space="0" w:color="auto"/>
                  </w:divBdr>
                  <w:divsChild>
                    <w:div w:id="480998552">
                      <w:marLeft w:val="0"/>
                      <w:marRight w:val="0"/>
                      <w:marTop w:val="0"/>
                      <w:marBottom w:val="0"/>
                      <w:divBdr>
                        <w:top w:val="none" w:sz="0" w:space="0" w:color="auto"/>
                        <w:left w:val="none" w:sz="0" w:space="0" w:color="auto"/>
                        <w:bottom w:val="none" w:sz="0" w:space="0" w:color="auto"/>
                        <w:right w:val="none" w:sz="0" w:space="0" w:color="auto"/>
                      </w:divBdr>
                    </w:div>
                    <w:div w:id="198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224686">
      <w:bodyDiv w:val="1"/>
      <w:marLeft w:val="0"/>
      <w:marRight w:val="0"/>
      <w:marTop w:val="0"/>
      <w:marBottom w:val="0"/>
      <w:divBdr>
        <w:top w:val="none" w:sz="0" w:space="0" w:color="auto"/>
        <w:left w:val="none" w:sz="0" w:space="0" w:color="auto"/>
        <w:bottom w:val="none" w:sz="0" w:space="0" w:color="auto"/>
        <w:right w:val="none" w:sz="0" w:space="0" w:color="auto"/>
      </w:divBdr>
      <w:divsChild>
        <w:div w:id="265189817">
          <w:marLeft w:val="0"/>
          <w:marRight w:val="0"/>
          <w:marTop w:val="0"/>
          <w:marBottom w:val="0"/>
          <w:divBdr>
            <w:top w:val="none" w:sz="0" w:space="0" w:color="auto"/>
            <w:left w:val="none" w:sz="0" w:space="0" w:color="auto"/>
            <w:bottom w:val="none" w:sz="0" w:space="0" w:color="auto"/>
            <w:right w:val="none" w:sz="0" w:space="0" w:color="auto"/>
          </w:divBdr>
          <w:divsChild>
            <w:div w:id="1875538679">
              <w:marLeft w:val="0"/>
              <w:marRight w:val="0"/>
              <w:marTop w:val="0"/>
              <w:marBottom w:val="0"/>
              <w:divBdr>
                <w:top w:val="none" w:sz="0" w:space="0" w:color="auto"/>
                <w:left w:val="none" w:sz="0" w:space="0" w:color="auto"/>
                <w:bottom w:val="none" w:sz="0" w:space="0" w:color="auto"/>
                <w:right w:val="none" w:sz="0" w:space="0" w:color="auto"/>
              </w:divBdr>
              <w:divsChild>
                <w:div w:id="1860463213">
                  <w:marLeft w:val="0"/>
                  <w:marRight w:val="0"/>
                  <w:marTop w:val="0"/>
                  <w:marBottom w:val="0"/>
                  <w:divBdr>
                    <w:top w:val="none" w:sz="0" w:space="0" w:color="auto"/>
                    <w:left w:val="none" w:sz="0" w:space="0" w:color="auto"/>
                    <w:bottom w:val="none" w:sz="0" w:space="0" w:color="auto"/>
                    <w:right w:val="none" w:sz="0" w:space="0" w:color="auto"/>
                  </w:divBdr>
                  <w:divsChild>
                    <w:div w:id="1558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342937">
      <w:bodyDiv w:val="1"/>
      <w:marLeft w:val="0"/>
      <w:marRight w:val="0"/>
      <w:marTop w:val="0"/>
      <w:marBottom w:val="0"/>
      <w:divBdr>
        <w:top w:val="none" w:sz="0" w:space="0" w:color="auto"/>
        <w:left w:val="none" w:sz="0" w:space="0" w:color="auto"/>
        <w:bottom w:val="none" w:sz="0" w:space="0" w:color="auto"/>
        <w:right w:val="none" w:sz="0" w:space="0" w:color="auto"/>
      </w:divBdr>
      <w:divsChild>
        <w:div w:id="949555774">
          <w:marLeft w:val="0"/>
          <w:marRight w:val="0"/>
          <w:marTop w:val="0"/>
          <w:marBottom w:val="0"/>
          <w:divBdr>
            <w:top w:val="none" w:sz="0" w:space="0" w:color="auto"/>
            <w:left w:val="none" w:sz="0" w:space="0" w:color="auto"/>
            <w:bottom w:val="none" w:sz="0" w:space="0" w:color="auto"/>
            <w:right w:val="none" w:sz="0" w:space="0" w:color="auto"/>
          </w:divBdr>
        </w:div>
      </w:divsChild>
    </w:div>
    <w:div w:id="1374845401">
      <w:bodyDiv w:val="1"/>
      <w:marLeft w:val="0"/>
      <w:marRight w:val="0"/>
      <w:marTop w:val="0"/>
      <w:marBottom w:val="0"/>
      <w:divBdr>
        <w:top w:val="none" w:sz="0" w:space="0" w:color="auto"/>
        <w:left w:val="none" w:sz="0" w:space="0" w:color="auto"/>
        <w:bottom w:val="none" w:sz="0" w:space="0" w:color="auto"/>
        <w:right w:val="none" w:sz="0" w:space="0" w:color="auto"/>
      </w:divBdr>
      <w:divsChild>
        <w:div w:id="1359698639">
          <w:marLeft w:val="0"/>
          <w:marRight w:val="0"/>
          <w:marTop w:val="0"/>
          <w:marBottom w:val="0"/>
          <w:divBdr>
            <w:top w:val="none" w:sz="0" w:space="0" w:color="auto"/>
            <w:left w:val="none" w:sz="0" w:space="0" w:color="auto"/>
            <w:bottom w:val="none" w:sz="0" w:space="0" w:color="auto"/>
            <w:right w:val="none" w:sz="0" w:space="0" w:color="auto"/>
          </w:divBdr>
        </w:div>
      </w:divsChild>
    </w:div>
    <w:div w:id="1382169651">
      <w:bodyDiv w:val="1"/>
      <w:marLeft w:val="0"/>
      <w:marRight w:val="0"/>
      <w:marTop w:val="0"/>
      <w:marBottom w:val="0"/>
      <w:divBdr>
        <w:top w:val="none" w:sz="0" w:space="0" w:color="auto"/>
        <w:left w:val="none" w:sz="0" w:space="0" w:color="auto"/>
        <w:bottom w:val="none" w:sz="0" w:space="0" w:color="auto"/>
        <w:right w:val="none" w:sz="0" w:space="0" w:color="auto"/>
      </w:divBdr>
      <w:divsChild>
        <w:div w:id="2144958214">
          <w:marLeft w:val="0"/>
          <w:marRight w:val="108"/>
          <w:marTop w:val="18"/>
          <w:marBottom w:val="108"/>
          <w:divBdr>
            <w:top w:val="none" w:sz="0" w:space="0" w:color="auto"/>
            <w:left w:val="none" w:sz="0" w:space="0" w:color="auto"/>
            <w:bottom w:val="none" w:sz="0" w:space="0" w:color="auto"/>
            <w:right w:val="none" w:sz="0" w:space="0" w:color="auto"/>
          </w:divBdr>
          <w:divsChild>
            <w:div w:id="416708356">
              <w:marLeft w:val="0"/>
              <w:marRight w:val="0"/>
              <w:marTop w:val="0"/>
              <w:marBottom w:val="0"/>
              <w:divBdr>
                <w:top w:val="none" w:sz="0" w:space="0" w:color="auto"/>
                <w:left w:val="none" w:sz="0" w:space="0" w:color="auto"/>
                <w:bottom w:val="none" w:sz="0" w:space="0" w:color="auto"/>
                <w:right w:val="none" w:sz="0" w:space="0" w:color="auto"/>
              </w:divBdr>
              <w:divsChild>
                <w:div w:id="482966117">
                  <w:marLeft w:val="0"/>
                  <w:marRight w:val="0"/>
                  <w:marTop w:val="0"/>
                  <w:marBottom w:val="0"/>
                  <w:divBdr>
                    <w:top w:val="none" w:sz="0" w:space="0" w:color="auto"/>
                    <w:left w:val="none" w:sz="0" w:space="0" w:color="auto"/>
                    <w:bottom w:val="none" w:sz="0" w:space="0" w:color="auto"/>
                    <w:right w:val="none" w:sz="0" w:space="0" w:color="auto"/>
                  </w:divBdr>
                  <w:divsChild>
                    <w:div w:id="1880968575">
                      <w:marLeft w:val="0"/>
                      <w:marRight w:val="0"/>
                      <w:marTop w:val="0"/>
                      <w:marBottom w:val="0"/>
                      <w:divBdr>
                        <w:top w:val="none" w:sz="0" w:space="0" w:color="auto"/>
                        <w:left w:val="none" w:sz="0" w:space="0" w:color="auto"/>
                        <w:bottom w:val="none" w:sz="0" w:space="0" w:color="auto"/>
                        <w:right w:val="none" w:sz="0" w:space="0" w:color="auto"/>
                      </w:divBdr>
                      <w:divsChild>
                        <w:div w:id="14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80008">
      <w:bodyDiv w:val="1"/>
      <w:marLeft w:val="0"/>
      <w:marRight w:val="0"/>
      <w:marTop w:val="0"/>
      <w:marBottom w:val="0"/>
      <w:divBdr>
        <w:top w:val="none" w:sz="0" w:space="0" w:color="auto"/>
        <w:left w:val="none" w:sz="0" w:space="0" w:color="auto"/>
        <w:bottom w:val="none" w:sz="0" w:space="0" w:color="auto"/>
        <w:right w:val="none" w:sz="0" w:space="0" w:color="auto"/>
      </w:divBdr>
      <w:divsChild>
        <w:div w:id="1225026603">
          <w:marLeft w:val="0"/>
          <w:marRight w:val="0"/>
          <w:marTop w:val="0"/>
          <w:marBottom w:val="0"/>
          <w:divBdr>
            <w:top w:val="none" w:sz="0" w:space="0" w:color="auto"/>
            <w:left w:val="none" w:sz="0" w:space="0" w:color="auto"/>
            <w:bottom w:val="none" w:sz="0" w:space="0" w:color="auto"/>
            <w:right w:val="none" w:sz="0" w:space="0" w:color="auto"/>
          </w:divBdr>
          <w:divsChild>
            <w:div w:id="1421215252">
              <w:marLeft w:val="0"/>
              <w:marRight w:val="0"/>
              <w:marTop w:val="0"/>
              <w:marBottom w:val="0"/>
              <w:divBdr>
                <w:top w:val="none" w:sz="0" w:space="0" w:color="auto"/>
                <w:left w:val="none" w:sz="0" w:space="0" w:color="auto"/>
                <w:bottom w:val="none" w:sz="0" w:space="0" w:color="auto"/>
                <w:right w:val="none" w:sz="0" w:space="0" w:color="auto"/>
              </w:divBdr>
              <w:divsChild>
                <w:div w:id="1143037097">
                  <w:marLeft w:val="0"/>
                  <w:marRight w:val="0"/>
                  <w:marTop w:val="0"/>
                  <w:marBottom w:val="0"/>
                  <w:divBdr>
                    <w:top w:val="none" w:sz="0" w:space="0" w:color="auto"/>
                    <w:left w:val="none" w:sz="0" w:space="0" w:color="auto"/>
                    <w:bottom w:val="none" w:sz="0" w:space="0" w:color="auto"/>
                    <w:right w:val="none" w:sz="0" w:space="0" w:color="auto"/>
                  </w:divBdr>
                  <w:divsChild>
                    <w:div w:id="17820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87308">
      <w:bodyDiv w:val="1"/>
      <w:marLeft w:val="0"/>
      <w:marRight w:val="0"/>
      <w:marTop w:val="0"/>
      <w:marBottom w:val="0"/>
      <w:divBdr>
        <w:top w:val="none" w:sz="0" w:space="0" w:color="auto"/>
        <w:left w:val="none" w:sz="0" w:space="0" w:color="auto"/>
        <w:bottom w:val="none" w:sz="0" w:space="0" w:color="auto"/>
        <w:right w:val="none" w:sz="0" w:space="0" w:color="auto"/>
      </w:divBdr>
    </w:div>
    <w:div w:id="1385249957">
      <w:bodyDiv w:val="1"/>
      <w:marLeft w:val="0"/>
      <w:marRight w:val="0"/>
      <w:marTop w:val="0"/>
      <w:marBottom w:val="0"/>
      <w:divBdr>
        <w:top w:val="none" w:sz="0" w:space="0" w:color="auto"/>
        <w:left w:val="none" w:sz="0" w:space="0" w:color="auto"/>
        <w:bottom w:val="none" w:sz="0" w:space="0" w:color="auto"/>
        <w:right w:val="none" w:sz="0" w:space="0" w:color="auto"/>
      </w:divBdr>
      <w:divsChild>
        <w:div w:id="1258293638">
          <w:marLeft w:val="126"/>
          <w:marRight w:val="126"/>
          <w:marTop w:val="0"/>
          <w:marBottom w:val="126"/>
          <w:divBdr>
            <w:top w:val="none" w:sz="0" w:space="0" w:color="auto"/>
            <w:left w:val="none" w:sz="0" w:space="0" w:color="auto"/>
            <w:bottom w:val="none" w:sz="0" w:space="0" w:color="auto"/>
            <w:right w:val="none" w:sz="0" w:space="0" w:color="auto"/>
          </w:divBdr>
          <w:divsChild>
            <w:div w:id="823544766">
              <w:marLeft w:val="0"/>
              <w:marRight w:val="0"/>
              <w:marTop w:val="0"/>
              <w:marBottom w:val="0"/>
              <w:divBdr>
                <w:top w:val="none" w:sz="0" w:space="0" w:color="auto"/>
                <w:left w:val="none" w:sz="0" w:space="0" w:color="auto"/>
                <w:bottom w:val="none" w:sz="0" w:space="0" w:color="auto"/>
                <w:right w:val="none" w:sz="0" w:space="0" w:color="auto"/>
              </w:divBdr>
              <w:divsChild>
                <w:div w:id="1478256487">
                  <w:marLeft w:val="0"/>
                  <w:marRight w:val="0"/>
                  <w:marTop w:val="0"/>
                  <w:marBottom w:val="0"/>
                  <w:divBdr>
                    <w:top w:val="none" w:sz="0" w:space="0" w:color="auto"/>
                    <w:left w:val="none" w:sz="0" w:space="0" w:color="auto"/>
                    <w:bottom w:val="none" w:sz="0" w:space="0" w:color="auto"/>
                    <w:right w:val="none" w:sz="0" w:space="0" w:color="auto"/>
                  </w:divBdr>
                </w:div>
                <w:div w:id="1333945868">
                  <w:marLeft w:val="0"/>
                  <w:marRight w:val="108"/>
                  <w:marTop w:val="18"/>
                  <w:marBottom w:val="108"/>
                  <w:divBdr>
                    <w:top w:val="none" w:sz="0" w:space="0" w:color="auto"/>
                    <w:left w:val="none" w:sz="0" w:space="0" w:color="auto"/>
                    <w:bottom w:val="none" w:sz="0" w:space="0" w:color="auto"/>
                    <w:right w:val="none" w:sz="0" w:space="0" w:color="auto"/>
                  </w:divBdr>
                  <w:divsChild>
                    <w:div w:id="236013335">
                      <w:marLeft w:val="0"/>
                      <w:marRight w:val="0"/>
                      <w:marTop w:val="0"/>
                      <w:marBottom w:val="0"/>
                      <w:divBdr>
                        <w:top w:val="none" w:sz="0" w:space="0" w:color="auto"/>
                        <w:left w:val="none" w:sz="0" w:space="0" w:color="auto"/>
                        <w:bottom w:val="none" w:sz="0" w:space="0" w:color="auto"/>
                        <w:right w:val="none" w:sz="0" w:space="0" w:color="auto"/>
                      </w:divBdr>
                      <w:divsChild>
                        <w:div w:id="1239170189">
                          <w:marLeft w:val="0"/>
                          <w:marRight w:val="0"/>
                          <w:marTop w:val="0"/>
                          <w:marBottom w:val="0"/>
                          <w:divBdr>
                            <w:top w:val="none" w:sz="0" w:space="0" w:color="auto"/>
                            <w:left w:val="none" w:sz="0" w:space="0" w:color="auto"/>
                            <w:bottom w:val="none" w:sz="0" w:space="0" w:color="auto"/>
                            <w:right w:val="none" w:sz="0" w:space="0" w:color="auto"/>
                          </w:divBdr>
                          <w:divsChild>
                            <w:div w:id="1938370316">
                              <w:marLeft w:val="0"/>
                              <w:marRight w:val="0"/>
                              <w:marTop w:val="0"/>
                              <w:marBottom w:val="0"/>
                              <w:divBdr>
                                <w:top w:val="none" w:sz="0" w:space="0" w:color="auto"/>
                                <w:left w:val="none" w:sz="0" w:space="0" w:color="auto"/>
                                <w:bottom w:val="none" w:sz="0" w:space="0" w:color="auto"/>
                                <w:right w:val="none" w:sz="0" w:space="0" w:color="auto"/>
                              </w:divBdr>
                              <w:divsChild>
                                <w:div w:id="21123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849483">
                  <w:marLeft w:val="0"/>
                  <w:marRight w:val="0"/>
                  <w:marTop w:val="0"/>
                  <w:marBottom w:val="0"/>
                  <w:divBdr>
                    <w:top w:val="none" w:sz="0" w:space="0" w:color="auto"/>
                    <w:left w:val="none" w:sz="0" w:space="0" w:color="auto"/>
                    <w:bottom w:val="none" w:sz="0" w:space="0" w:color="auto"/>
                    <w:right w:val="none" w:sz="0" w:space="0" w:color="auto"/>
                  </w:divBdr>
                  <w:divsChild>
                    <w:div w:id="2057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04117">
      <w:bodyDiv w:val="1"/>
      <w:marLeft w:val="0"/>
      <w:marRight w:val="0"/>
      <w:marTop w:val="0"/>
      <w:marBottom w:val="0"/>
      <w:divBdr>
        <w:top w:val="none" w:sz="0" w:space="0" w:color="auto"/>
        <w:left w:val="none" w:sz="0" w:space="0" w:color="auto"/>
        <w:bottom w:val="none" w:sz="0" w:space="0" w:color="auto"/>
        <w:right w:val="none" w:sz="0" w:space="0" w:color="auto"/>
      </w:divBdr>
      <w:divsChild>
        <w:div w:id="2123261678">
          <w:marLeft w:val="0"/>
          <w:marRight w:val="108"/>
          <w:marTop w:val="18"/>
          <w:marBottom w:val="108"/>
          <w:divBdr>
            <w:top w:val="none" w:sz="0" w:space="0" w:color="auto"/>
            <w:left w:val="none" w:sz="0" w:space="0" w:color="auto"/>
            <w:bottom w:val="none" w:sz="0" w:space="0" w:color="auto"/>
            <w:right w:val="none" w:sz="0" w:space="0" w:color="auto"/>
          </w:divBdr>
          <w:divsChild>
            <w:div w:id="2084985685">
              <w:marLeft w:val="0"/>
              <w:marRight w:val="0"/>
              <w:marTop w:val="0"/>
              <w:marBottom w:val="0"/>
              <w:divBdr>
                <w:top w:val="none" w:sz="0" w:space="0" w:color="auto"/>
                <w:left w:val="none" w:sz="0" w:space="0" w:color="auto"/>
                <w:bottom w:val="none" w:sz="0" w:space="0" w:color="auto"/>
                <w:right w:val="none" w:sz="0" w:space="0" w:color="auto"/>
              </w:divBdr>
              <w:divsChild>
                <w:div w:id="1382435001">
                  <w:marLeft w:val="0"/>
                  <w:marRight w:val="0"/>
                  <w:marTop w:val="0"/>
                  <w:marBottom w:val="0"/>
                  <w:divBdr>
                    <w:top w:val="none" w:sz="0" w:space="0" w:color="auto"/>
                    <w:left w:val="none" w:sz="0" w:space="0" w:color="auto"/>
                    <w:bottom w:val="none" w:sz="0" w:space="0" w:color="auto"/>
                    <w:right w:val="none" w:sz="0" w:space="0" w:color="auto"/>
                  </w:divBdr>
                  <w:divsChild>
                    <w:div w:id="120271545">
                      <w:marLeft w:val="0"/>
                      <w:marRight w:val="0"/>
                      <w:marTop w:val="0"/>
                      <w:marBottom w:val="0"/>
                      <w:divBdr>
                        <w:top w:val="none" w:sz="0" w:space="0" w:color="auto"/>
                        <w:left w:val="none" w:sz="0" w:space="0" w:color="auto"/>
                        <w:bottom w:val="none" w:sz="0" w:space="0" w:color="auto"/>
                        <w:right w:val="none" w:sz="0" w:space="0" w:color="auto"/>
                      </w:divBdr>
                      <w:divsChild>
                        <w:div w:id="3478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17695">
      <w:bodyDiv w:val="1"/>
      <w:marLeft w:val="0"/>
      <w:marRight w:val="0"/>
      <w:marTop w:val="0"/>
      <w:marBottom w:val="0"/>
      <w:divBdr>
        <w:top w:val="none" w:sz="0" w:space="0" w:color="auto"/>
        <w:left w:val="none" w:sz="0" w:space="0" w:color="auto"/>
        <w:bottom w:val="none" w:sz="0" w:space="0" w:color="auto"/>
        <w:right w:val="none" w:sz="0" w:space="0" w:color="auto"/>
      </w:divBdr>
      <w:divsChild>
        <w:div w:id="1703820464">
          <w:marLeft w:val="0"/>
          <w:marRight w:val="0"/>
          <w:marTop w:val="0"/>
          <w:marBottom w:val="0"/>
          <w:divBdr>
            <w:top w:val="none" w:sz="0" w:space="0" w:color="auto"/>
            <w:left w:val="none" w:sz="0" w:space="0" w:color="auto"/>
            <w:bottom w:val="none" w:sz="0" w:space="0" w:color="auto"/>
            <w:right w:val="none" w:sz="0" w:space="0" w:color="auto"/>
          </w:divBdr>
          <w:divsChild>
            <w:div w:id="2033336331">
              <w:marLeft w:val="0"/>
              <w:marRight w:val="0"/>
              <w:marTop w:val="0"/>
              <w:marBottom w:val="0"/>
              <w:divBdr>
                <w:top w:val="none" w:sz="0" w:space="0" w:color="auto"/>
                <w:left w:val="none" w:sz="0" w:space="0" w:color="auto"/>
                <w:bottom w:val="none" w:sz="0" w:space="0" w:color="auto"/>
                <w:right w:val="none" w:sz="0" w:space="0" w:color="auto"/>
              </w:divBdr>
              <w:divsChild>
                <w:div w:id="849023774">
                  <w:marLeft w:val="0"/>
                  <w:marRight w:val="0"/>
                  <w:marTop w:val="0"/>
                  <w:marBottom w:val="0"/>
                  <w:divBdr>
                    <w:top w:val="none" w:sz="0" w:space="0" w:color="auto"/>
                    <w:left w:val="none" w:sz="0" w:space="0" w:color="auto"/>
                    <w:bottom w:val="none" w:sz="0" w:space="0" w:color="auto"/>
                    <w:right w:val="none" w:sz="0" w:space="0" w:color="auto"/>
                  </w:divBdr>
                  <w:divsChild>
                    <w:div w:id="2139911488">
                      <w:marLeft w:val="0"/>
                      <w:marRight w:val="0"/>
                      <w:marTop w:val="0"/>
                      <w:marBottom w:val="0"/>
                      <w:divBdr>
                        <w:top w:val="none" w:sz="0" w:space="0" w:color="auto"/>
                        <w:left w:val="none" w:sz="0" w:space="0" w:color="auto"/>
                        <w:bottom w:val="none" w:sz="0" w:space="0" w:color="auto"/>
                        <w:right w:val="none" w:sz="0" w:space="0" w:color="auto"/>
                      </w:divBdr>
                    </w:div>
                    <w:div w:id="1270966821">
                      <w:marLeft w:val="0"/>
                      <w:marRight w:val="0"/>
                      <w:marTop w:val="0"/>
                      <w:marBottom w:val="0"/>
                      <w:divBdr>
                        <w:top w:val="none" w:sz="0" w:space="0" w:color="auto"/>
                        <w:left w:val="none" w:sz="0" w:space="0" w:color="auto"/>
                        <w:bottom w:val="none" w:sz="0" w:space="0" w:color="auto"/>
                        <w:right w:val="none" w:sz="0" w:space="0" w:color="auto"/>
                      </w:divBdr>
                    </w:div>
                  </w:divsChild>
                </w:div>
                <w:div w:id="1323462626">
                  <w:marLeft w:val="0"/>
                  <w:marRight w:val="0"/>
                  <w:marTop w:val="0"/>
                  <w:marBottom w:val="0"/>
                  <w:divBdr>
                    <w:top w:val="none" w:sz="0" w:space="0" w:color="auto"/>
                    <w:left w:val="none" w:sz="0" w:space="0" w:color="auto"/>
                    <w:bottom w:val="none" w:sz="0" w:space="0" w:color="auto"/>
                    <w:right w:val="none" w:sz="0" w:space="0" w:color="auto"/>
                  </w:divBdr>
                  <w:divsChild>
                    <w:div w:id="1678845076">
                      <w:marLeft w:val="0"/>
                      <w:marRight w:val="0"/>
                      <w:marTop w:val="0"/>
                      <w:marBottom w:val="0"/>
                      <w:divBdr>
                        <w:top w:val="none" w:sz="0" w:space="0" w:color="auto"/>
                        <w:left w:val="none" w:sz="0" w:space="0" w:color="auto"/>
                        <w:bottom w:val="none" w:sz="0" w:space="0" w:color="auto"/>
                        <w:right w:val="none" w:sz="0" w:space="0" w:color="auto"/>
                      </w:divBdr>
                    </w:div>
                  </w:divsChild>
                </w:div>
                <w:div w:id="1630164150">
                  <w:marLeft w:val="0"/>
                  <w:marRight w:val="0"/>
                  <w:marTop w:val="0"/>
                  <w:marBottom w:val="0"/>
                  <w:divBdr>
                    <w:top w:val="none" w:sz="0" w:space="0" w:color="auto"/>
                    <w:left w:val="none" w:sz="0" w:space="0" w:color="auto"/>
                    <w:bottom w:val="none" w:sz="0" w:space="0" w:color="auto"/>
                    <w:right w:val="none" w:sz="0" w:space="0" w:color="auto"/>
                  </w:divBdr>
                  <w:divsChild>
                    <w:div w:id="15289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0713">
              <w:marLeft w:val="0"/>
              <w:marRight w:val="0"/>
              <w:marTop w:val="0"/>
              <w:marBottom w:val="0"/>
              <w:divBdr>
                <w:top w:val="none" w:sz="0" w:space="0" w:color="auto"/>
                <w:left w:val="none" w:sz="0" w:space="0" w:color="auto"/>
                <w:bottom w:val="none" w:sz="0" w:space="0" w:color="auto"/>
                <w:right w:val="none" w:sz="0" w:space="0" w:color="auto"/>
              </w:divBdr>
              <w:divsChild>
                <w:div w:id="516507033">
                  <w:marLeft w:val="0"/>
                  <w:marRight w:val="0"/>
                  <w:marTop w:val="0"/>
                  <w:marBottom w:val="0"/>
                  <w:divBdr>
                    <w:top w:val="none" w:sz="0" w:space="0" w:color="auto"/>
                    <w:left w:val="none" w:sz="0" w:space="0" w:color="auto"/>
                    <w:bottom w:val="none" w:sz="0" w:space="0" w:color="auto"/>
                    <w:right w:val="none" w:sz="0" w:space="0" w:color="auto"/>
                  </w:divBdr>
                  <w:divsChild>
                    <w:div w:id="613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6189">
          <w:marLeft w:val="0"/>
          <w:marRight w:val="0"/>
          <w:marTop w:val="0"/>
          <w:marBottom w:val="0"/>
          <w:divBdr>
            <w:top w:val="none" w:sz="0" w:space="0" w:color="auto"/>
            <w:left w:val="none" w:sz="0" w:space="0" w:color="auto"/>
            <w:bottom w:val="none" w:sz="0" w:space="0" w:color="auto"/>
            <w:right w:val="none" w:sz="0" w:space="0" w:color="auto"/>
          </w:divBdr>
          <w:divsChild>
            <w:div w:id="1412577610">
              <w:marLeft w:val="0"/>
              <w:marRight w:val="0"/>
              <w:marTop w:val="0"/>
              <w:marBottom w:val="0"/>
              <w:divBdr>
                <w:top w:val="none" w:sz="0" w:space="0" w:color="auto"/>
                <w:left w:val="none" w:sz="0" w:space="0" w:color="auto"/>
                <w:bottom w:val="none" w:sz="0" w:space="0" w:color="auto"/>
                <w:right w:val="none" w:sz="0" w:space="0" w:color="auto"/>
              </w:divBdr>
              <w:divsChild>
                <w:div w:id="1843156646">
                  <w:marLeft w:val="0"/>
                  <w:marRight w:val="0"/>
                  <w:marTop w:val="0"/>
                  <w:marBottom w:val="0"/>
                  <w:divBdr>
                    <w:top w:val="none" w:sz="0" w:space="0" w:color="auto"/>
                    <w:left w:val="none" w:sz="0" w:space="0" w:color="auto"/>
                    <w:bottom w:val="none" w:sz="0" w:space="0" w:color="auto"/>
                    <w:right w:val="none" w:sz="0" w:space="0" w:color="auto"/>
                  </w:divBdr>
                  <w:divsChild>
                    <w:div w:id="1203638946">
                      <w:marLeft w:val="0"/>
                      <w:marRight w:val="0"/>
                      <w:marTop w:val="0"/>
                      <w:marBottom w:val="0"/>
                      <w:divBdr>
                        <w:top w:val="none" w:sz="0" w:space="0" w:color="auto"/>
                        <w:left w:val="none" w:sz="0" w:space="0" w:color="auto"/>
                        <w:bottom w:val="none" w:sz="0" w:space="0" w:color="auto"/>
                        <w:right w:val="none" w:sz="0" w:space="0" w:color="auto"/>
                      </w:divBdr>
                    </w:div>
                  </w:divsChild>
                </w:div>
                <w:div w:id="2126729564">
                  <w:marLeft w:val="0"/>
                  <w:marRight w:val="0"/>
                  <w:marTop w:val="0"/>
                  <w:marBottom w:val="0"/>
                  <w:divBdr>
                    <w:top w:val="none" w:sz="0" w:space="0" w:color="auto"/>
                    <w:left w:val="none" w:sz="0" w:space="0" w:color="auto"/>
                    <w:bottom w:val="none" w:sz="0" w:space="0" w:color="auto"/>
                    <w:right w:val="none" w:sz="0" w:space="0" w:color="auto"/>
                  </w:divBdr>
                  <w:divsChild>
                    <w:div w:id="1344624301">
                      <w:marLeft w:val="0"/>
                      <w:marRight w:val="0"/>
                      <w:marTop w:val="0"/>
                      <w:marBottom w:val="0"/>
                      <w:divBdr>
                        <w:top w:val="none" w:sz="0" w:space="0" w:color="auto"/>
                        <w:left w:val="none" w:sz="0" w:space="0" w:color="auto"/>
                        <w:bottom w:val="none" w:sz="0" w:space="0" w:color="auto"/>
                        <w:right w:val="none" w:sz="0" w:space="0" w:color="auto"/>
                      </w:divBdr>
                    </w:div>
                    <w:div w:id="11457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73556">
      <w:bodyDiv w:val="1"/>
      <w:marLeft w:val="0"/>
      <w:marRight w:val="0"/>
      <w:marTop w:val="0"/>
      <w:marBottom w:val="0"/>
      <w:divBdr>
        <w:top w:val="none" w:sz="0" w:space="0" w:color="auto"/>
        <w:left w:val="none" w:sz="0" w:space="0" w:color="auto"/>
        <w:bottom w:val="none" w:sz="0" w:space="0" w:color="auto"/>
        <w:right w:val="none" w:sz="0" w:space="0" w:color="auto"/>
      </w:divBdr>
    </w:div>
    <w:div w:id="1401755522">
      <w:bodyDiv w:val="1"/>
      <w:marLeft w:val="0"/>
      <w:marRight w:val="0"/>
      <w:marTop w:val="0"/>
      <w:marBottom w:val="0"/>
      <w:divBdr>
        <w:top w:val="none" w:sz="0" w:space="0" w:color="auto"/>
        <w:left w:val="none" w:sz="0" w:space="0" w:color="auto"/>
        <w:bottom w:val="none" w:sz="0" w:space="0" w:color="auto"/>
        <w:right w:val="none" w:sz="0" w:space="0" w:color="auto"/>
      </w:divBdr>
      <w:divsChild>
        <w:div w:id="445271725">
          <w:marLeft w:val="0"/>
          <w:marRight w:val="0"/>
          <w:marTop w:val="0"/>
          <w:marBottom w:val="0"/>
          <w:divBdr>
            <w:top w:val="none" w:sz="0" w:space="0" w:color="auto"/>
            <w:left w:val="none" w:sz="0" w:space="0" w:color="auto"/>
            <w:bottom w:val="none" w:sz="0" w:space="0" w:color="auto"/>
            <w:right w:val="none" w:sz="0" w:space="0" w:color="auto"/>
          </w:divBdr>
          <w:divsChild>
            <w:div w:id="770010914">
              <w:marLeft w:val="0"/>
              <w:marRight w:val="0"/>
              <w:marTop w:val="0"/>
              <w:marBottom w:val="0"/>
              <w:divBdr>
                <w:top w:val="none" w:sz="0" w:space="0" w:color="auto"/>
                <w:left w:val="none" w:sz="0" w:space="0" w:color="auto"/>
                <w:bottom w:val="none" w:sz="0" w:space="0" w:color="auto"/>
                <w:right w:val="none" w:sz="0" w:space="0" w:color="auto"/>
              </w:divBdr>
              <w:divsChild>
                <w:div w:id="332227756">
                  <w:marLeft w:val="0"/>
                  <w:marRight w:val="0"/>
                  <w:marTop w:val="0"/>
                  <w:marBottom w:val="0"/>
                  <w:divBdr>
                    <w:top w:val="none" w:sz="0" w:space="0" w:color="auto"/>
                    <w:left w:val="none" w:sz="0" w:space="0" w:color="auto"/>
                    <w:bottom w:val="none" w:sz="0" w:space="0" w:color="auto"/>
                    <w:right w:val="none" w:sz="0" w:space="0" w:color="auto"/>
                  </w:divBdr>
                  <w:divsChild>
                    <w:div w:id="18844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5784">
      <w:bodyDiv w:val="1"/>
      <w:marLeft w:val="0"/>
      <w:marRight w:val="0"/>
      <w:marTop w:val="0"/>
      <w:marBottom w:val="0"/>
      <w:divBdr>
        <w:top w:val="none" w:sz="0" w:space="0" w:color="auto"/>
        <w:left w:val="none" w:sz="0" w:space="0" w:color="auto"/>
        <w:bottom w:val="none" w:sz="0" w:space="0" w:color="auto"/>
        <w:right w:val="none" w:sz="0" w:space="0" w:color="auto"/>
      </w:divBdr>
      <w:divsChild>
        <w:div w:id="1704478574">
          <w:marLeft w:val="0"/>
          <w:marRight w:val="0"/>
          <w:marTop w:val="0"/>
          <w:marBottom w:val="0"/>
          <w:divBdr>
            <w:top w:val="none" w:sz="0" w:space="0" w:color="auto"/>
            <w:left w:val="none" w:sz="0" w:space="0" w:color="auto"/>
            <w:bottom w:val="none" w:sz="0" w:space="0" w:color="auto"/>
            <w:right w:val="none" w:sz="0" w:space="0" w:color="auto"/>
          </w:divBdr>
          <w:divsChild>
            <w:div w:id="431702991">
              <w:marLeft w:val="0"/>
              <w:marRight w:val="0"/>
              <w:marTop w:val="0"/>
              <w:marBottom w:val="0"/>
              <w:divBdr>
                <w:top w:val="none" w:sz="0" w:space="0" w:color="auto"/>
                <w:left w:val="none" w:sz="0" w:space="0" w:color="auto"/>
                <w:bottom w:val="none" w:sz="0" w:space="0" w:color="auto"/>
                <w:right w:val="none" w:sz="0" w:space="0" w:color="auto"/>
              </w:divBdr>
              <w:divsChild>
                <w:div w:id="1556969311">
                  <w:marLeft w:val="0"/>
                  <w:marRight w:val="0"/>
                  <w:marTop w:val="0"/>
                  <w:marBottom w:val="0"/>
                  <w:divBdr>
                    <w:top w:val="none" w:sz="0" w:space="0" w:color="auto"/>
                    <w:left w:val="none" w:sz="0" w:space="0" w:color="auto"/>
                    <w:bottom w:val="none" w:sz="0" w:space="0" w:color="auto"/>
                    <w:right w:val="none" w:sz="0" w:space="0" w:color="auto"/>
                  </w:divBdr>
                  <w:divsChild>
                    <w:div w:id="11884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36217">
      <w:bodyDiv w:val="1"/>
      <w:marLeft w:val="0"/>
      <w:marRight w:val="0"/>
      <w:marTop w:val="0"/>
      <w:marBottom w:val="0"/>
      <w:divBdr>
        <w:top w:val="none" w:sz="0" w:space="0" w:color="auto"/>
        <w:left w:val="none" w:sz="0" w:space="0" w:color="auto"/>
        <w:bottom w:val="none" w:sz="0" w:space="0" w:color="auto"/>
        <w:right w:val="none" w:sz="0" w:space="0" w:color="auto"/>
      </w:divBdr>
      <w:divsChild>
        <w:div w:id="558833214">
          <w:marLeft w:val="0"/>
          <w:marRight w:val="0"/>
          <w:marTop w:val="0"/>
          <w:marBottom w:val="0"/>
          <w:divBdr>
            <w:top w:val="none" w:sz="0" w:space="0" w:color="auto"/>
            <w:left w:val="none" w:sz="0" w:space="0" w:color="auto"/>
            <w:bottom w:val="none" w:sz="0" w:space="0" w:color="auto"/>
            <w:right w:val="none" w:sz="0" w:space="0" w:color="auto"/>
          </w:divBdr>
          <w:divsChild>
            <w:div w:id="945847028">
              <w:marLeft w:val="0"/>
              <w:marRight w:val="0"/>
              <w:marTop w:val="0"/>
              <w:marBottom w:val="0"/>
              <w:divBdr>
                <w:top w:val="none" w:sz="0" w:space="0" w:color="auto"/>
                <w:left w:val="none" w:sz="0" w:space="0" w:color="auto"/>
                <w:bottom w:val="none" w:sz="0" w:space="0" w:color="auto"/>
                <w:right w:val="none" w:sz="0" w:space="0" w:color="auto"/>
              </w:divBdr>
              <w:divsChild>
                <w:div w:id="400568932">
                  <w:marLeft w:val="0"/>
                  <w:marRight w:val="0"/>
                  <w:marTop w:val="0"/>
                  <w:marBottom w:val="0"/>
                  <w:divBdr>
                    <w:top w:val="none" w:sz="0" w:space="0" w:color="auto"/>
                    <w:left w:val="none" w:sz="0" w:space="0" w:color="auto"/>
                    <w:bottom w:val="none" w:sz="0" w:space="0" w:color="auto"/>
                    <w:right w:val="none" w:sz="0" w:space="0" w:color="auto"/>
                  </w:divBdr>
                  <w:divsChild>
                    <w:div w:id="13050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07006">
      <w:bodyDiv w:val="1"/>
      <w:marLeft w:val="0"/>
      <w:marRight w:val="0"/>
      <w:marTop w:val="0"/>
      <w:marBottom w:val="0"/>
      <w:divBdr>
        <w:top w:val="none" w:sz="0" w:space="0" w:color="auto"/>
        <w:left w:val="none" w:sz="0" w:space="0" w:color="auto"/>
        <w:bottom w:val="none" w:sz="0" w:space="0" w:color="auto"/>
        <w:right w:val="none" w:sz="0" w:space="0" w:color="auto"/>
      </w:divBdr>
    </w:div>
    <w:div w:id="1434088492">
      <w:bodyDiv w:val="1"/>
      <w:marLeft w:val="0"/>
      <w:marRight w:val="0"/>
      <w:marTop w:val="0"/>
      <w:marBottom w:val="0"/>
      <w:divBdr>
        <w:top w:val="none" w:sz="0" w:space="0" w:color="auto"/>
        <w:left w:val="none" w:sz="0" w:space="0" w:color="auto"/>
        <w:bottom w:val="none" w:sz="0" w:space="0" w:color="auto"/>
        <w:right w:val="none" w:sz="0" w:space="0" w:color="auto"/>
      </w:divBdr>
    </w:div>
    <w:div w:id="1438136323">
      <w:bodyDiv w:val="1"/>
      <w:marLeft w:val="0"/>
      <w:marRight w:val="0"/>
      <w:marTop w:val="0"/>
      <w:marBottom w:val="0"/>
      <w:divBdr>
        <w:top w:val="none" w:sz="0" w:space="0" w:color="auto"/>
        <w:left w:val="none" w:sz="0" w:space="0" w:color="auto"/>
        <w:bottom w:val="none" w:sz="0" w:space="0" w:color="auto"/>
        <w:right w:val="none" w:sz="0" w:space="0" w:color="auto"/>
      </w:divBdr>
      <w:divsChild>
        <w:div w:id="680278190">
          <w:marLeft w:val="0"/>
          <w:marRight w:val="0"/>
          <w:marTop w:val="0"/>
          <w:marBottom w:val="0"/>
          <w:divBdr>
            <w:top w:val="none" w:sz="0" w:space="0" w:color="auto"/>
            <w:left w:val="none" w:sz="0" w:space="0" w:color="auto"/>
            <w:bottom w:val="none" w:sz="0" w:space="0" w:color="auto"/>
            <w:right w:val="none" w:sz="0" w:space="0" w:color="auto"/>
          </w:divBdr>
        </w:div>
        <w:div w:id="128254888">
          <w:marLeft w:val="0"/>
          <w:marRight w:val="0"/>
          <w:marTop w:val="0"/>
          <w:marBottom w:val="0"/>
          <w:divBdr>
            <w:top w:val="none" w:sz="0" w:space="0" w:color="auto"/>
            <w:left w:val="none" w:sz="0" w:space="0" w:color="auto"/>
            <w:bottom w:val="none" w:sz="0" w:space="0" w:color="auto"/>
            <w:right w:val="none" w:sz="0" w:space="0" w:color="auto"/>
          </w:divBdr>
        </w:div>
      </w:divsChild>
    </w:div>
    <w:div w:id="1454589965">
      <w:bodyDiv w:val="1"/>
      <w:marLeft w:val="0"/>
      <w:marRight w:val="0"/>
      <w:marTop w:val="0"/>
      <w:marBottom w:val="0"/>
      <w:divBdr>
        <w:top w:val="none" w:sz="0" w:space="0" w:color="auto"/>
        <w:left w:val="none" w:sz="0" w:space="0" w:color="auto"/>
        <w:bottom w:val="none" w:sz="0" w:space="0" w:color="auto"/>
        <w:right w:val="none" w:sz="0" w:space="0" w:color="auto"/>
      </w:divBdr>
    </w:div>
    <w:div w:id="1471828006">
      <w:bodyDiv w:val="1"/>
      <w:marLeft w:val="0"/>
      <w:marRight w:val="0"/>
      <w:marTop w:val="0"/>
      <w:marBottom w:val="0"/>
      <w:divBdr>
        <w:top w:val="none" w:sz="0" w:space="0" w:color="auto"/>
        <w:left w:val="none" w:sz="0" w:space="0" w:color="auto"/>
        <w:bottom w:val="none" w:sz="0" w:space="0" w:color="auto"/>
        <w:right w:val="none" w:sz="0" w:space="0" w:color="auto"/>
      </w:divBdr>
    </w:div>
    <w:div w:id="1472988499">
      <w:bodyDiv w:val="1"/>
      <w:marLeft w:val="0"/>
      <w:marRight w:val="0"/>
      <w:marTop w:val="0"/>
      <w:marBottom w:val="0"/>
      <w:divBdr>
        <w:top w:val="none" w:sz="0" w:space="0" w:color="auto"/>
        <w:left w:val="none" w:sz="0" w:space="0" w:color="auto"/>
        <w:bottom w:val="none" w:sz="0" w:space="0" w:color="auto"/>
        <w:right w:val="none" w:sz="0" w:space="0" w:color="auto"/>
      </w:divBdr>
    </w:div>
    <w:div w:id="1485316544">
      <w:bodyDiv w:val="1"/>
      <w:marLeft w:val="360"/>
      <w:marRight w:val="360"/>
      <w:marTop w:val="360"/>
      <w:marBottom w:val="360"/>
      <w:divBdr>
        <w:top w:val="none" w:sz="0" w:space="0" w:color="auto"/>
        <w:left w:val="none" w:sz="0" w:space="0" w:color="auto"/>
        <w:bottom w:val="none" w:sz="0" w:space="0" w:color="auto"/>
        <w:right w:val="none" w:sz="0" w:space="0" w:color="auto"/>
      </w:divBdr>
    </w:div>
    <w:div w:id="1497962653">
      <w:bodyDiv w:val="1"/>
      <w:marLeft w:val="0"/>
      <w:marRight w:val="0"/>
      <w:marTop w:val="0"/>
      <w:marBottom w:val="0"/>
      <w:divBdr>
        <w:top w:val="none" w:sz="0" w:space="0" w:color="auto"/>
        <w:left w:val="none" w:sz="0" w:space="0" w:color="auto"/>
        <w:bottom w:val="none" w:sz="0" w:space="0" w:color="auto"/>
        <w:right w:val="none" w:sz="0" w:space="0" w:color="auto"/>
      </w:divBdr>
      <w:divsChild>
        <w:div w:id="1636596603">
          <w:marLeft w:val="0"/>
          <w:marRight w:val="0"/>
          <w:marTop w:val="0"/>
          <w:marBottom w:val="0"/>
          <w:divBdr>
            <w:top w:val="none" w:sz="0" w:space="0" w:color="auto"/>
            <w:left w:val="none" w:sz="0" w:space="0" w:color="auto"/>
            <w:bottom w:val="none" w:sz="0" w:space="0" w:color="auto"/>
            <w:right w:val="none" w:sz="0" w:space="0" w:color="auto"/>
          </w:divBdr>
        </w:div>
      </w:divsChild>
    </w:div>
    <w:div w:id="1500538952">
      <w:bodyDiv w:val="1"/>
      <w:marLeft w:val="0"/>
      <w:marRight w:val="0"/>
      <w:marTop w:val="0"/>
      <w:marBottom w:val="0"/>
      <w:divBdr>
        <w:top w:val="none" w:sz="0" w:space="0" w:color="auto"/>
        <w:left w:val="none" w:sz="0" w:space="0" w:color="auto"/>
        <w:bottom w:val="none" w:sz="0" w:space="0" w:color="auto"/>
        <w:right w:val="none" w:sz="0" w:space="0" w:color="auto"/>
      </w:divBdr>
    </w:div>
    <w:div w:id="1506286575">
      <w:bodyDiv w:val="1"/>
      <w:marLeft w:val="0"/>
      <w:marRight w:val="0"/>
      <w:marTop w:val="0"/>
      <w:marBottom w:val="0"/>
      <w:divBdr>
        <w:top w:val="none" w:sz="0" w:space="0" w:color="auto"/>
        <w:left w:val="none" w:sz="0" w:space="0" w:color="auto"/>
        <w:bottom w:val="none" w:sz="0" w:space="0" w:color="auto"/>
        <w:right w:val="none" w:sz="0" w:space="0" w:color="auto"/>
      </w:divBdr>
      <w:divsChild>
        <w:div w:id="811487290">
          <w:marLeft w:val="0"/>
          <w:marRight w:val="0"/>
          <w:marTop w:val="0"/>
          <w:marBottom w:val="0"/>
          <w:divBdr>
            <w:top w:val="none" w:sz="0" w:space="0" w:color="auto"/>
            <w:left w:val="none" w:sz="0" w:space="0" w:color="auto"/>
            <w:bottom w:val="none" w:sz="0" w:space="0" w:color="auto"/>
            <w:right w:val="none" w:sz="0" w:space="0" w:color="auto"/>
          </w:divBdr>
        </w:div>
      </w:divsChild>
    </w:div>
    <w:div w:id="1507474676">
      <w:bodyDiv w:val="1"/>
      <w:marLeft w:val="0"/>
      <w:marRight w:val="0"/>
      <w:marTop w:val="0"/>
      <w:marBottom w:val="0"/>
      <w:divBdr>
        <w:top w:val="none" w:sz="0" w:space="0" w:color="auto"/>
        <w:left w:val="none" w:sz="0" w:space="0" w:color="auto"/>
        <w:bottom w:val="none" w:sz="0" w:space="0" w:color="auto"/>
        <w:right w:val="none" w:sz="0" w:space="0" w:color="auto"/>
      </w:divBdr>
    </w:div>
    <w:div w:id="1514103707">
      <w:bodyDiv w:val="1"/>
      <w:marLeft w:val="0"/>
      <w:marRight w:val="0"/>
      <w:marTop w:val="0"/>
      <w:marBottom w:val="0"/>
      <w:divBdr>
        <w:top w:val="none" w:sz="0" w:space="0" w:color="auto"/>
        <w:left w:val="none" w:sz="0" w:space="0" w:color="auto"/>
        <w:bottom w:val="none" w:sz="0" w:space="0" w:color="auto"/>
        <w:right w:val="none" w:sz="0" w:space="0" w:color="auto"/>
      </w:divBdr>
      <w:divsChild>
        <w:div w:id="1956135643">
          <w:marLeft w:val="0"/>
          <w:marRight w:val="108"/>
          <w:marTop w:val="18"/>
          <w:marBottom w:val="108"/>
          <w:divBdr>
            <w:top w:val="none" w:sz="0" w:space="0" w:color="auto"/>
            <w:left w:val="none" w:sz="0" w:space="0" w:color="auto"/>
            <w:bottom w:val="none" w:sz="0" w:space="0" w:color="auto"/>
            <w:right w:val="none" w:sz="0" w:space="0" w:color="auto"/>
          </w:divBdr>
          <w:divsChild>
            <w:div w:id="1531412142">
              <w:marLeft w:val="0"/>
              <w:marRight w:val="0"/>
              <w:marTop w:val="0"/>
              <w:marBottom w:val="0"/>
              <w:divBdr>
                <w:top w:val="none" w:sz="0" w:space="0" w:color="auto"/>
                <w:left w:val="none" w:sz="0" w:space="0" w:color="auto"/>
                <w:bottom w:val="none" w:sz="0" w:space="0" w:color="auto"/>
                <w:right w:val="none" w:sz="0" w:space="0" w:color="auto"/>
              </w:divBdr>
              <w:divsChild>
                <w:div w:id="1077434623">
                  <w:marLeft w:val="0"/>
                  <w:marRight w:val="0"/>
                  <w:marTop w:val="0"/>
                  <w:marBottom w:val="0"/>
                  <w:divBdr>
                    <w:top w:val="none" w:sz="0" w:space="0" w:color="auto"/>
                    <w:left w:val="none" w:sz="0" w:space="0" w:color="auto"/>
                    <w:bottom w:val="none" w:sz="0" w:space="0" w:color="auto"/>
                    <w:right w:val="none" w:sz="0" w:space="0" w:color="auto"/>
                  </w:divBdr>
                  <w:divsChild>
                    <w:div w:id="1166213965">
                      <w:marLeft w:val="0"/>
                      <w:marRight w:val="0"/>
                      <w:marTop w:val="0"/>
                      <w:marBottom w:val="0"/>
                      <w:divBdr>
                        <w:top w:val="none" w:sz="0" w:space="0" w:color="auto"/>
                        <w:left w:val="none" w:sz="0" w:space="0" w:color="auto"/>
                        <w:bottom w:val="none" w:sz="0" w:space="0" w:color="auto"/>
                        <w:right w:val="none" w:sz="0" w:space="0" w:color="auto"/>
                      </w:divBdr>
                      <w:divsChild>
                        <w:div w:id="8685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905933">
      <w:bodyDiv w:val="1"/>
      <w:marLeft w:val="0"/>
      <w:marRight w:val="0"/>
      <w:marTop w:val="0"/>
      <w:marBottom w:val="0"/>
      <w:divBdr>
        <w:top w:val="none" w:sz="0" w:space="0" w:color="auto"/>
        <w:left w:val="none" w:sz="0" w:space="0" w:color="auto"/>
        <w:bottom w:val="none" w:sz="0" w:space="0" w:color="auto"/>
        <w:right w:val="none" w:sz="0" w:space="0" w:color="auto"/>
      </w:divBdr>
      <w:divsChild>
        <w:div w:id="2128313368">
          <w:marLeft w:val="0"/>
          <w:marRight w:val="0"/>
          <w:marTop w:val="0"/>
          <w:marBottom w:val="0"/>
          <w:divBdr>
            <w:top w:val="none" w:sz="0" w:space="0" w:color="auto"/>
            <w:left w:val="none" w:sz="0" w:space="0" w:color="auto"/>
            <w:bottom w:val="none" w:sz="0" w:space="0" w:color="auto"/>
            <w:right w:val="none" w:sz="0" w:space="0" w:color="auto"/>
          </w:divBdr>
        </w:div>
      </w:divsChild>
    </w:div>
    <w:div w:id="1531989709">
      <w:bodyDiv w:val="1"/>
      <w:marLeft w:val="0"/>
      <w:marRight w:val="0"/>
      <w:marTop w:val="0"/>
      <w:marBottom w:val="0"/>
      <w:divBdr>
        <w:top w:val="none" w:sz="0" w:space="0" w:color="auto"/>
        <w:left w:val="none" w:sz="0" w:space="0" w:color="auto"/>
        <w:bottom w:val="none" w:sz="0" w:space="0" w:color="auto"/>
        <w:right w:val="none" w:sz="0" w:space="0" w:color="auto"/>
      </w:divBdr>
      <w:divsChild>
        <w:div w:id="2082481510">
          <w:marLeft w:val="0"/>
          <w:marRight w:val="0"/>
          <w:marTop w:val="0"/>
          <w:marBottom w:val="0"/>
          <w:divBdr>
            <w:top w:val="none" w:sz="0" w:space="0" w:color="auto"/>
            <w:left w:val="none" w:sz="0" w:space="0" w:color="auto"/>
            <w:bottom w:val="none" w:sz="0" w:space="0" w:color="auto"/>
            <w:right w:val="none" w:sz="0" w:space="0" w:color="auto"/>
          </w:divBdr>
        </w:div>
      </w:divsChild>
    </w:div>
    <w:div w:id="1536891134">
      <w:bodyDiv w:val="1"/>
      <w:marLeft w:val="0"/>
      <w:marRight w:val="0"/>
      <w:marTop w:val="0"/>
      <w:marBottom w:val="0"/>
      <w:divBdr>
        <w:top w:val="none" w:sz="0" w:space="0" w:color="auto"/>
        <w:left w:val="none" w:sz="0" w:space="0" w:color="auto"/>
        <w:bottom w:val="none" w:sz="0" w:space="0" w:color="auto"/>
        <w:right w:val="none" w:sz="0" w:space="0" w:color="auto"/>
      </w:divBdr>
      <w:divsChild>
        <w:div w:id="2069330301">
          <w:marLeft w:val="0"/>
          <w:marRight w:val="108"/>
          <w:marTop w:val="18"/>
          <w:marBottom w:val="108"/>
          <w:divBdr>
            <w:top w:val="none" w:sz="0" w:space="0" w:color="auto"/>
            <w:left w:val="none" w:sz="0" w:space="0" w:color="auto"/>
            <w:bottom w:val="none" w:sz="0" w:space="0" w:color="auto"/>
            <w:right w:val="none" w:sz="0" w:space="0" w:color="auto"/>
          </w:divBdr>
          <w:divsChild>
            <w:div w:id="1298142406">
              <w:marLeft w:val="0"/>
              <w:marRight w:val="0"/>
              <w:marTop w:val="0"/>
              <w:marBottom w:val="0"/>
              <w:divBdr>
                <w:top w:val="none" w:sz="0" w:space="0" w:color="auto"/>
                <w:left w:val="none" w:sz="0" w:space="0" w:color="auto"/>
                <w:bottom w:val="none" w:sz="0" w:space="0" w:color="auto"/>
                <w:right w:val="none" w:sz="0" w:space="0" w:color="auto"/>
              </w:divBdr>
              <w:divsChild>
                <w:div w:id="1802074456">
                  <w:marLeft w:val="0"/>
                  <w:marRight w:val="0"/>
                  <w:marTop w:val="0"/>
                  <w:marBottom w:val="0"/>
                  <w:divBdr>
                    <w:top w:val="none" w:sz="0" w:space="0" w:color="auto"/>
                    <w:left w:val="none" w:sz="0" w:space="0" w:color="auto"/>
                    <w:bottom w:val="none" w:sz="0" w:space="0" w:color="auto"/>
                    <w:right w:val="none" w:sz="0" w:space="0" w:color="auto"/>
                  </w:divBdr>
                  <w:divsChild>
                    <w:div w:id="639848532">
                      <w:marLeft w:val="0"/>
                      <w:marRight w:val="0"/>
                      <w:marTop w:val="0"/>
                      <w:marBottom w:val="0"/>
                      <w:divBdr>
                        <w:top w:val="none" w:sz="0" w:space="0" w:color="auto"/>
                        <w:left w:val="none" w:sz="0" w:space="0" w:color="auto"/>
                        <w:bottom w:val="none" w:sz="0" w:space="0" w:color="auto"/>
                        <w:right w:val="none" w:sz="0" w:space="0" w:color="auto"/>
                      </w:divBdr>
                      <w:divsChild>
                        <w:div w:id="15835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231172">
      <w:bodyDiv w:val="1"/>
      <w:marLeft w:val="0"/>
      <w:marRight w:val="0"/>
      <w:marTop w:val="0"/>
      <w:marBottom w:val="0"/>
      <w:divBdr>
        <w:top w:val="none" w:sz="0" w:space="0" w:color="auto"/>
        <w:left w:val="none" w:sz="0" w:space="0" w:color="auto"/>
        <w:bottom w:val="none" w:sz="0" w:space="0" w:color="auto"/>
        <w:right w:val="none" w:sz="0" w:space="0" w:color="auto"/>
      </w:divBdr>
      <w:divsChild>
        <w:div w:id="575748159">
          <w:marLeft w:val="0"/>
          <w:marRight w:val="108"/>
          <w:marTop w:val="18"/>
          <w:marBottom w:val="108"/>
          <w:divBdr>
            <w:top w:val="none" w:sz="0" w:space="0" w:color="auto"/>
            <w:left w:val="none" w:sz="0" w:space="0" w:color="auto"/>
            <w:bottom w:val="none" w:sz="0" w:space="0" w:color="auto"/>
            <w:right w:val="none" w:sz="0" w:space="0" w:color="auto"/>
          </w:divBdr>
          <w:divsChild>
            <w:div w:id="1534688556">
              <w:marLeft w:val="0"/>
              <w:marRight w:val="0"/>
              <w:marTop w:val="0"/>
              <w:marBottom w:val="0"/>
              <w:divBdr>
                <w:top w:val="none" w:sz="0" w:space="0" w:color="auto"/>
                <w:left w:val="none" w:sz="0" w:space="0" w:color="auto"/>
                <w:bottom w:val="none" w:sz="0" w:space="0" w:color="auto"/>
                <w:right w:val="none" w:sz="0" w:space="0" w:color="auto"/>
              </w:divBdr>
              <w:divsChild>
                <w:div w:id="1883054248">
                  <w:marLeft w:val="0"/>
                  <w:marRight w:val="0"/>
                  <w:marTop w:val="0"/>
                  <w:marBottom w:val="0"/>
                  <w:divBdr>
                    <w:top w:val="none" w:sz="0" w:space="0" w:color="auto"/>
                    <w:left w:val="none" w:sz="0" w:space="0" w:color="auto"/>
                    <w:bottom w:val="none" w:sz="0" w:space="0" w:color="auto"/>
                    <w:right w:val="none" w:sz="0" w:space="0" w:color="auto"/>
                  </w:divBdr>
                  <w:divsChild>
                    <w:div w:id="1362710810">
                      <w:marLeft w:val="0"/>
                      <w:marRight w:val="0"/>
                      <w:marTop w:val="0"/>
                      <w:marBottom w:val="0"/>
                      <w:divBdr>
                        <w:top w:val="none" w:sz="0" w:space="0" w:color="auto"/>
                        <w:left w:val="none" w:sz="0" w:space="0" w:color="auto"/>
                        <w:bottom w:val="none" w:sz="0" w:space="0" w:color="auto"/>
                        <w:right w:val="none" w:sz="0" w:space="0" w:color="auto"/>
                      </w:divBdr>
                      <w:divsChild>
                        <w:div w:id="10274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11198">
      <w:bodyDiv w:val="1"/>
      <w:marLeft w:val="0"/>
      <w:marRight w:val="0"/>
      <w:marTop w:val="0"/>
      <w:marBottom w:val="0"/>
      <w:divBdr>
        <w:top w:val="none" w:sz="0" w:space="0" w:color="auto"/>
        <w:left w:val="none" w:sz="0" w:space="0" w:color="auto"/>
        <w:bottom w:val="none" w:sz="0" w:space="0" w:color="auto"/>
        <w:right w:val="none" w:sz="0" w:space="0" w:color="auto"/>
      </w:divBdr>
      <w:divsChild>
        <w:div w:id="957373915">
          <w:marLeft w:val="0"/>
          <w:marRight w:val="0"/>
          <w:marTop w:val="0"/>
          <w:marBottom w:val="0"/>
          <w:divBdr>
            <w:top w:val="none" w:sz="0" w:space="0" w:color="auto"/>
            <w:left w:val="none" w:sz="0" w:space="0" w:color="auto"/>
            <w:bottom w:val="none" w:sz="0" w:space="0" w:color="auto"/>
            <w:right w:val="none" w:sz="0" w:space="0" w:color="auto"/>
          </w:divBdr>
        </w:div>
        <w:div w:id="1262833352">
          <w:marLeft w:val="0"/>
          <w:marRight w:val="0"/>
          <w:marTop w:val="0"/>
          <w:marBottom w:val="0"/>
          <w:divBdr>
            <w:top w:val="none" w:sz="0" w:space="0" w:color="auto"/>
            <w:left w:val="none" w:sz="0" w:space="0" w:color="auto"/>
            <w:bottom w:val="none" w:sz="0" w:space="0" w:color="auto"/>
            <w:right w:val="none" w:sz="0" w:space="0" w:color="auto"/>
          </w:divBdr>
        </w:div>
      </w:divsChild>
    </w:div>
    <w:div w:id="1540169888">
      <w:bodyDiv w:val="1"/>
      <w:marLeft w:val="0"/>
      <w:marRight w:val="0"/>
      <w:marTop w:val="0"/>
      <w:marBottom w:val="0"/>
      <w:divBdr>
        <w:top w:val="none" w:sz="0" w:space="0" w:color="auto"/>
        <w:left w:val="none" w:sz="0" w:space="0" w:color="auto"/>
        <w:bottom w:val="none" w:sz="0" w:space="0" w:color="auto"/>
        <w:right w:val="none" w:sz="0" w:space="0" w:color="auto"/>
      </w:divBdr>
    </w:div>
    <w:div w:id="1550990181">
      <w:bodyDiv w:val="1"/>
      <w:marLeft w:val="0"/>
      <w:marRight w:val="0"/>
      <w:marTop w:val="0"/>
      <w:marBottom w:val="0"/>
      <w:divBdr>
        <w:top w:val="none" w:sz="0" w:space="0" w:color="auto"/>
        <w:left w:val="none" w:sz="0" w:space="0" w:color="auto"/>
        <w:bottom w:val="none" w:sz="0" w:space="0" w:color="auto"/>
        <w:right w:val="none" w:sz="0" w:space="0" w:color="auto"/>
      </w:divBdr>
      <w:divsChild>
        <w:div w:id="1820806404">
          <w:marLeft w:val="0"/>
          <w:marRight w:val="0"/>
          <w:marTop w:val="0"/>
          <w:marBottom w:val="0"/>
          <w:divBdr>
            <w:top w:val="none" w:sz="0" w:space="0" w:color="auto"/>
            <w:left w:val="none" w:sz="0" w:space="0" w:color="auto"/>
            <w:bottom w:val="none" w:sz="0" w:space="0" w:color="auto"/>
            <w:right w:val="none" w:sz="0" w:space="0" w:color="auto"/>
          </w:divBdr>
        </w:div>
        <w:div w:id="1053502299">
          <w:marLeft w:val="0"/>
          <w:marRight w:val="0"/>
          <w:marTop w:val="0"/>
          <w:marBottom w:val="0"/>
          <w:divBdr>
            <w:top w:val="none" w:sz="0" w:space="0" w:color="auto"/>
            <w:left w:val="none" w:sz="0" w:space="0" w:color="auto"/>
            <w:bottom w:val="none" w:sz="0" w:space="0" w:color="auto"/>
            <w:right w:val="none" w:sz="0" w:space="0" w:color="auto"/>
          </w:divBdr>
        </w:div>
      </w:divsChild>
    </w:div>
    <w:div w:id="1557007414">
      <w:bodyDiv w:val="1"/>
      <w:marLeft w:val="0"/>
      <w:marRight w:val="0"/>
      <w:marTop w:val="0"/>
      <w:marBottom w:val="0"/>
      <w:divBdr>
        <w:top w:val="none" w:sz="0" w:space="0" w:color="auto"/>
        <w:left w:val="none" w:sz="0" w:space="0" w:color="auto"/>
        <w:bottom w:val="none" w:sz="0" w:space="0" w:color="auto"/>
        <w:right w:val="none" w:sz="0" w:space="0" w:color="auto"/>
      </w:divBdr>
    </w:div>
    <w:div w:id="1564759549">
      <w:bodyDiv w:val="1"/>
      <w:marLeft w:val="0"/>
      <w:marRight w:val="0"/>
      <w:marTop w:val="0"/>
      <w:marBottom w:val="0"/>
      <w:divBdr>
        <w:top w:val="none" w:sz="0" w:space="0" w:color="auto"/>
        <w:left w:val="none" w:sz="0" w:space="0" w:color="auto"/>
        <w:bottom w:val="none" w:sz="0" w:space="0" w:color="auto"/>
        <w:right w:val="none" w:sz="0" w:space="0" w:color="auto"/>
      </w:divBdr>
    </w:div>
    <w:div w:id="1564759787">
      <w:bodyDiv w:val="1"/>
      <w:marLeft w:val="0"/>
      <w:marRight w:val="0"/>
      <w:marTop w:val="0"/>
      <w:marBottom w:val="0"/>
      <w:divBdr>
        <w:top w:val="none" w:sz="0" w:space="0" w:color="auto"/>
        <w:left w:val="none" w:sz="0" w:space="0" w:color="auto"/>
        <w:bottom w:val="none" w:sz="0" w:space="0" w:color="auto"/>
        <w:right w:val="none" w:sz="0" w:space="0" w:color="auto"/>
      </w:divBdr>
      <w:divsChild>
        <w:div w:id="172648291">
          <w:marLeft w:val="0"/>
          <w:marRight w:val="0"/>
          <w:marTop w:val="0"/>
          <w:marBottom w:val="0"/>
          <w:divBdr>
            <w:top w:val="none" w:sz="0" w:space="0" w:color="auto"/>
            <w:left w:val="none" w:sz="0" w:space="0" w:color="auto"/>
            <w:bottom w:val="none" w:sz="0" w:space="0" w:color="auto"/>
            <w:right w:val="none" w:sz="0" w:space="0" w:color="auto"/>
          </w:divBdr>
        </w:div>
      </w:divsChild>
    </w:div>
    <w:div w:id="1566647695">
      <w:bodyDiv w:val="1"/>
      <w:marLeft w:val="0"/>
      <w:marRight w:val="0"/>
      <w:marTop w:val="0"/>
      <w:marBottom w:val="0"/>
      <w:divBdr>
        <w:top w:val="none" w:sz="0" w:space="0" w:color="auto"/>
        <w:left w:val="none" w:sz="0" w:space="0" w:color="auto"/>
        <w:bottom w:val="none" w:sz="0" w:space="0" w:color="auto"/>
        <w:right w:val="none" w:sz="0" w:space="0" w:color="auto"/>
      </w:divBdr>
    </w:div>
    <w:div w:id="1566986187">
      <w:bodyDiv w:val="1"/>
      <w:marLeft w:val="0"/>
      <w:marRight w:val="0"/>
      <w:marTop w:val="0"/>
      <w:marBottom w:val="0"/>
      <w:divBdr>
        <w:top w:val="none" w:sz="0" w:space="0" w:color="auto"/>
        <w:left w:val="none" w:sz="0" w:space="0" w:color="auto"/>
        <w:bottom w:val="none" w:sz="0" w:space="0" w:color="auto"/>
        <w:right w:val="none" w:sz="0" w:space="0" w:color="auto"/>
      </w:divBdr>
    </w:div>
    <w:div w:id="1567186074">
      <w:bodyDiv w:val="1"/>
      <w:marLeft w:val="0"/>
      <w:marRight w:val="0"/>
      <w:marTop w:val="0"/>
      <w:marBottom w:val="0"/>
      <w:divBdr>
        <w:top w:val="none" w:sz="0" w:space="0" w:color="auto"/>
        <w:left w:val="none" w:sz="0" w:space="0" w:color="auto"/>
        <w:bottom w:val="none" w:sz="0" w:space="0" w:color="auto"/>
        <w:right w:val="none" w:sz="0" w:space="0" w:color="auto"/>
      </w:divBdr>
      <w:divsChild>
        <w:div w:id="1442266075">
          <w:marLeft w:val="0"/>
          <w:marRight w:val="108"/>
          <w:marTop w:val="18"/>
          <w:marBottom w:val="108"/>
          <w:divBdr>
            <w:top w:val="none" w:sz="0" w:space="0" w:color="auto"/>
            <w:left w:val="none" w:sz="0" w:space="0" w:color="auto"/>
            <w:bottom w:val="none" w:sz="0" w:space="0" w:color="auto"/>
            <w:right w:val="none" w:sz="0" w:space="0" w:color="auto"/>
          </w:divBdr>
          <w:divsChild>
            <w:div w:id="1983928612">
              <w:marLeft w:val="0"/>
              <w:marRight w:val="0"/>
              <w:marTop w:val="0"/>
              <w:marBottom w:val="0"/>
              <w:divBdr>
                <w:top w:val="none" w:sz="0" w:space="0" w:color="auto"/>
                <w:left w:val="none" w:sz="0" w:space="0" w:color="auto"/>
                <w:bottom w:val="none" w:sz="0" w:space="0" w:color="auto"/>
                <w:right w:val="none" w:sz="0" w:space="0" w:color="auto"/>
              </w:divBdr>
              <w:divsChild>
                <w:div w:id="1871340200">
                  <w:marLeft w:val="0"/>
                  <w:marRight w:val="0"/>
                  <w:marTop w:val="0"/>
                  <w:marBottom w:val="0"/>
                  <w:divBdr>
                    <w:top w:val="none" w:sz="0" w:space="0" w:color="auto"/>
                    <w:left w:val="none" w:sz="0" w:space="0" w:color="auto"/>
                    <w:bottom w:val="none" w:sz="0" w:space="0" w:color="auto"/>
                    <w:right w:val="none" w:sz="0" w:space="0" w:color="auto"/>
                  </w:divBdr>
                  <w:divsChild>
                    <w:div w:id="828793759">
                      <w:marLeft w:val="0"/>
                      <w:marRight w:val="0"/>
                      <w:marTop w:val="0"/>
                      <w:marBottom w:val="0"/>
                      <w:divBdr>
                        <w:top w:val="none" w:sz="0" w:space="0" w:color="auto"/>
                        <w:left w:val="none" w:sz="0" w:space="0" w:color="auto"/>
                        <w:bottom w:val="none" w:sz="0" w:space="0" w:color="auto"/>
                        <w:right w:val="none" w:sz="0" w:space="0" w:color="auto"/>
                      </w:divBdr>
                      <w:divsChild>
                        <w:div w:id="9697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80868">
      <w:bodyDiv w:val="1"/>
      <w:marLeft w:val="0"/>
      <w:marRight w:val="0"/>
      <w:marTop w:val="0"/>
      <w:marBottom w:val="0"/>
      <w:divBdr>
        <w:top w:val="none" w:sz="0" w:space="0" w:color="auto"/>
        <w:left w:val="none" w:sz="0" w:space="0" w:color="auto"/>
        <w:bottom w:val="none" w:sz="0" w:space="0" w:color="auto"/>
        <w:right w:val="none" w:sz="0" w:space="0" w:color="auto"/>
      </w:divBdr>
    </w:div>
    <w:div w:id="1579943473">
      <w:bodyDiv w:val="1"/>
      <w:marLeft w:val="0"/>
      <w:marRight w:val="0"/>
      <w:marTop w:val="0"/>
      <w:marBottom w:val="0"/>
      <w:divBdr>
        <w:top w:val="none" w:sz="0" w:space="0" w:color="auto"/>
        <w:left w:val="none" w:sz="0" w:space="0" w:color="auto"/>
        <w:bottom w:val="none" w:sz="0" w:space="0" w:color="auto"/>
        <w:right w:val="none" w:sz="0" w:space="0" w:color="auto"/>
      </w:divBdr>
    </w:div>
    <w:div w:id="1581334064">
      <w:bodyDiv w:val="1"/>
      <w:marLeft w:val="0"/>
      <w:marRight w:val="0"/>
      <w:marTop w:val="0"/>
      <w:marBottom w:val="0"/>
      <w:divBdr>
        <w:top w:val="none" w:sz="0" w:space="0" w:color="auto"/>
        <w:left w:val="none" w:sz="0" w:space="0" w:color="auto"/>
        <w:bottom w:val="none" w:sz="0" w:space="0" w:color="auto"/>
        <w:right w:val="none" w:sz="0" w:space="0" w:color="auto"/>
      </w:divBdr>
    </w:div>
    <w:div w:id="1582521240">
      <w:bodyDiv w:val="1"/>
      <w:marLeft w:val="0"/>
      <w:marRight w:val="0"/>
      <w:marTop w:val="0"/>
      <w:marBottom w:val="0"/>
      <w:divBdr>
        <w:top w:val="none" w:sz="0" w:space="0" w:color="auto"/>
        <w:left w:val="none" w:sz="0" w:space="0" w:color="auto"/>
        <w:bottom w:val="none" w:sz="0" w:space="0" w:color="auto"/>
        <w:right w:val="none" w:sz="0" w:space="0" w:color="auto"/>
      </w:divBdr>
    </w:div>
    <w:div w:id="1584948202">
      <w:bodyDiv w:val="1"/>
      <w:marLeft w:val="0"/>
      <w:marRight w:val="0"/>
      <w:marTop w:val="0"/>
      <w:marBottom w:val="0"/>
      <w:divBdr>
        <w:top w:val="none" w:sz="0" w:space="0" w:color="auto"/>
        <w:left w:val="none" w:sz="0" w:space="0" w:color="auto"/>
        <w:bottom w:val="none" w:sz="0" w:space="0" w:color="auto"/>
        <w:right w:val="none" w:sz="0" w:space="0" w:color="auto"/>
      </w:divBdr>
      <w:divsChild>
        <w:div w:id="1824810297">
          <w:marLeft w:val="0"/>
          <w:marRight w:val="108"/>
          <w:marTop w:val="18"/>
          <w:marBottom w:val="108"/>
          <w:divBdr>
            <w:top w:val="none" w:sz="0" w:space="0" w:color="auto"/>
            <w:left w:val="none" w:sz="0" w:space="0" w:color="auto"/>
            <w:bottom w:val="none" w:sz="0" w:space="0" w:color="auto"/>
            <w:right w:val="none" w:sz="0" w:space="0" w:color="auto"/>
          </w:divBdr>
          <w:divsChild>
            <w:div w:id="514811777">
              <w:marLeft w:val="0"/>
              <w:marRight w:val="0"/>
              <w:marTop w:val="0"/>
              <w:marBottom w:val="0"/>
              <w:divBdr>
                <w:top w:val="none" w:sz="0" w:space="0" w:color="auto"/>
                <w:left w:val="none" w:sz="0" w:space="0" w:color="auto"/>
                <w:bottom w:val="none" w:sz="0" w:space="0" w:color="auto"/>
                <w:right w:val="none" w:sz="0" w:space="0" w:color="auto"/>
              </w:divBdr>
              <w:divsChild>
                <w:div w:id="1686319065">
                  <w:marLeft w:val="0"/>
                  <w:marRight w:val="0"/>
                  <w:marTop w:val="0"/>
                  <w:marBottom w:val="0"/>
                  <w:divBdr>
                    <w:top w:val="none" w:sz="0" w:space="0" w:color="auto"/>
                    <w:left w:val="none" w:sz="0" w:space="0" w:color="auto"/>
                    <w:bottom w:val="none" w:sz="0" w:space="0" w:color="auto"/>
                    <w:right w:val="none" w:sz="0" w:space="0" w:color="auto"/>
                  </w:divBdr>
                  <w:divsChild>
                    <w:div w:id="1876234892">
                      <w:marLeft w:val="0"/>
                      <w:marRight w:val="0"/>
                      <w:marTop w:val="0"/>
                      <w:marBottom w:val="0"/>
                      <w:divBdr>
                        <w:top w:val="none" w:sz="0" w:space="0" w:color="auto"/>
                        <w:left w:val="none" w:sz="0" w:space="0" w:color="auto"/>
                        <w:bottom w:val="none" w:sz="0" w:space="0" w:color="auto"/>
                        <w:right w:val="none" w:sz="0" w:space="0" w:color="auto"/>
                      </w:divBdr>
                      <w:divsChild>
                        <w:div w:id="10958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05873">
      <w:bodyDiv w:val="1"/>
      <w:marLeft w:val="0"/>
      <w:marRight w:val="0"/>
      <w:marTop w:val="0"/>
      <w:marBottom w:val="0"/>
      <w:divBdr>
        <w:top w:val="none" w:sz="0" w:space="0" w:color="auto"/>
        <w:left w:val="none" w:sz="0" w:space="0" w:color="auto"/>
        <w:bottom w:val="none" w:sz="0" w:space="0" w:color="auto"/>
        <w:right w:val="none" w:sz="0" w:space="0" w:color="auto"/>
      </w:divBdr>
      <w:divsChild>
        <w:div w:id="1929195245">
          <w:marLeft w:val="0"/>
          <w:marRight w:val="0"/>
          <w:marTop w:val="0"/>
          <w:marBottom w:val="0"/>
          <w:divBdr>
            <w:top w:val="none" w:sz="0" w:space="0" w:color="auto"/>
            <w:left w:val="none" w:sz="0" w:space="0" w:color="auto"/>
            <w:bottom w:val="none" w:sz="0" w:space="0" w:color="auto"/>
            <w:right w:val="none" w:sz="0" w:space="0" w:color="auto"/>
          </w:divBdr>
        </w:div>
      </w:divsChild>
    </w:div>
    <w:div w:id="1594585836">
      <w:bodyDiv w:val="1"/>
      <w:marLeft w:val="0"/>
      <w:marRight w:val="0"/>
      <w:marTop w:val="0"/>
      <w:marBottom w:val="0"/>
      <w:divBdr>
        <w:top w:val="none" w:sz="0" w:space="0" w:color="auto"/>
        <w:left w:val="none" w:sz="0" w:space="0" w:color="auto"/>
        <w:bottom w:val="none" w:sz="0" w:space="0" w:color="auto"/>
        <w:right w:val="none" w:sz="0" w:space="0" w:color="auto"/>
      </w:divBdr>
      <w:divsChild>
        <w:div w:id="1574509025">
          <w:marLeft w:val="0"/>
          <w:marRight w:val="108"/>
          <w:marTop w:val="18"/>
          <w:marBottom w:val="108"/>
          <w:divBdr>
            <w:top w:val="none" w:sz="0" w:space="0" w:color="auto"/>
            <w:left w:val="none" w:sz="0" w:space="0" w:color="auto"/>
            <w:bottom w:val="none" w:sz="0" w:space="0" w:color="auto"/>
            <w:right w:val="none" w:sz="0" w:space="0" w:color="auto"/>
          </w:divBdr>
          <w:divsChild>
            <w:div w:id="1592857093">
              <w:marLeft w:val="0"/>
              <w:marRight w:val="0"/>
              <w:marTop w:val="0"/>
              <w:marBottom w:val="0"/>
              <w:divBdr>
                <w:top w:val="none" w:sz="0" w:space="0" w:color="auto"/>
                <w:left w:val="none" w:sz="0" w:space="0" w:color="auto"/>
                <w:bottom w:val="none" w:sz="0" w:space="0" w:color="auto"/>
                <w:right w:val="none" w:sz="0" w:space="0" w:color="auto"/>
              </w:divBdr>
              <w:divsChild>
                <w:div w:id="1523670659">
                  <w:marLeft w:val="0"/>
                  <w:marRight w:val="0"/>
                  <w:marTop w:val="0"/>
                  <w:marBottom w:val="0"/>
                  <w:divBdr>
                    <w:top w:val="none" w:sz="0" w:space="0" w:color="auto"/>
                    <w:left w:val="none" w:sz="0" w:space="0" w:color="auto"/>
                    <w:bottom w:val="none" w:sz="0" w:space="0" w:color="auto"/>
                    <w:right w:val="none" w:sz="0" w:space="0" w:color="auto"/>
                  </w:divBdr>
                  <w:divsChild>
                    <w:div w:id="1049963381">
                      <w:marLeft w:val="0"/>
                      <w:marRight w:val="0"/>
                      <w:marTop w:val="0"/>
                      <w:marBottom w:val="0"/>
                      <w:divBdr>
                        <w:top w:val="none" w:sz="0" w:space="0" w:color="auto"/>
                        <w:left w:val="none" w:sz="0" w:space="0" w:color="auto"/>
                        <w:bottom w:val="none" w:sz="0" w:space="0" w:color="auto"/>
                        <w:right w:val="none" w:sz="0" w:space="0" w:color="auto"/>
                      </w:divBdr>
                      <w:divsChild>
                        <w:div w:id="11645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76570">
      <w:bodyDiv w:val="1"/>
      <w:marLeft w:val="0"/>
      <w:marRight w:val="0"/>
      <w:marTop w:val="0"/>
      <w:marBottom w:val="0"/>
      <w:divBdr>
        <w:top w:val="none" w:sz="0" w:space="0" w:color="auto"/>
        <w:left w:val="none" w:sz="0" w:space="0" w:color="auto"/>
        <w:bottom w:val="none" w:sz="0" w:space="0" w:color="auto"/>
        <w:right w:val="none" w:sz="0" w:space="0" w:color="auto"/>
      </w:divBdr>
    </w:div>
    <w:div w:id="1597252232">
      <w:bodyDiv w:val="1"/>
      <w:marLeft w:val="0"/>
      <w:marRight w:val="0"/>
      <w:marTop w:val="0"/>
      <w:marBottom w:val="0"/>
      <w:divBdr>
        <w:top w:val="none" w:sz="0" w:space="0" w:color="auto"/>
        <w:left w:val="none" w:sz="0" w:space="0" w:color="auto"/>
        <w:bottom w:val="none" w:sz="0" w:space="0" w:color="auto"/>
        <w:right w:val="none" w:sz="0" w:space="0" w:color="auto"/>
      </w:divBdr>
    </w:div>
    <w:div w:id="1600409268">
      <w:bodyDiv w:val="1"/>
      <w:marLeft w:val="0"/>
      <w:marRight w:val="0"/>
      <w:marTop w:val="0"/>
      <w:marBottom w:val="0"/>
      <w:divBdr>
        <w:top w:val="none" w:sz="0" w:space="0" w:color="auto"/>
        <w:left w:val="none" w:sz="0" w:space="0" w:color="auto"/>
        <w:bottom w:val="none" w:sz="0" w:space="0" w:color="auto"/>
        <w:right w:val="none" w:sz="0" w:space="0" w:color="auto"/>
      </w:divBdr>
      <w:divsChild>
        <w:div w:id="528109933">
          <w:marLeft w:val="0"/>
          <w:marRight w:val="0"/>
          <w:marTop w:val="0"/>
          <w:marBottom w:val="0"/>
          <w:divBdr>
            <w:top w:val="none" w:sz="0" w:space="0" w:color="auto"/>
            <w:left w:val="none" w:sz="0" w:space="0" w:color="auto"/>
            <w:bottom w:val="none" w:sz="0" w:space="0" w:color="auto"/>
            <w:right w:val="none" w:sz="0" w:space="0" w:color="auto"/>
          </w:divBdr>
          <w:divsChild>
            <w:div w:id="1612281451">
              <w:marLeft w:val="0"/>
              <w:marRight w:val="0"/>
              <w:marTop w:val="0"/>
              <w:marBottom w:val="0"/>
              <w:divBdr>
                <w:top w:val="none" w:sz="0" w:space="0" w:color="auto"/>
                <w:left w:val="none" w:sz="0" w:space="0" w:color="auto"/>
                <w:bottom w:val="none" w:sz="0" w:space="0" w:color="auto"/>
                <w:right w:val="none" w:sz="0" w:space="0" w:color="auto"/>
              </w:divBdr>
              <w:divsChild>
                <w:div w:id="213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43634">
      <w:bodyDiv w:val="1"/>
      <w:marLeft w:val="0"/>
      <w:marRight w:val="0"/>
      <w:marTop w:val="0"/>
      <w:marBottom w:val="0"/>
      <w:divBdr>
        <w:top w:val="none" w:sz="0" w:space="0" w:color="auto"/>
        <w:left w:val="none" w:sz="0" w:space="0" w:color="auto"/>
        <w:bottom w:val="none" w:sz="0" w:space="0" w:color="auto"/>
        <w:right w:val="none" w:sz="0" w:space="0" w:color="auto"/>
      </w:divBdr>
      <w:divsChild>
        <w:div w:id="1797681456">
          <w:marLeft w:val="0"/>
          <w:marRight w:val="0"/>
          <w:marTop w:val="0"/>
          <w:marBottom w:val="0"/>
          <w:divBdr>
            <w:top w:val="none" w:sz="0" w:space="0" w:color="auto"/>
            <w:left w:val="none" w:sz="0" w:space="0" w:color="auto"/>
            <w:bottom w:val="none" w:sz="0" w:space="0" w:color="auto"/>
            <w:right w:val="none" w:sz="0" w:space="0" w:color="auto"/>
          </w:divBdr>
        </w:div>
      </w:divsChild>
    </w:div>
    <w:div w:id="1615943675">
      <w:bodyDiv w:val="1"/>
      <w:marLeft w:val="0"/>
      <w:marRight w:val="0"/>
      <w:marTop w:val="0"/>
      <w:marBottom w:val="0"/>
      <w:divBdr>
        <w:top w:val="none" w:sz="0" w:space="0" w:color="auto"/>
        <w:left w:val="none" w:sz="0" w:space="0" w:color="auto"/>
        <w:bottom w:val="none" w:sz="0" w:space="0" w:color="auto"/>
        <w:right w:val="none" w:sz="0" w:space="0" w:color="auto"/>
      </w:divBdr>
    </w:div>
    <w:div w:id="1616862924">
      <w:bodyDiv w:val="1"/>
      <w:marLeft w:val="0"/>
      <w:marRight w:val="0"/>
      <w:marTop w:val="0"/>
      <w:marBottom w:val="0"/>
      <w:divBdr>
        <w:top w:val="none" w:sz="0" w:space="0" w:color="auto"/>
        <w:left w:val="none" w:sz="0" w:space="0" w:color="auto"/>
        <w:bottom w:val="none" w:sz="0" w:space="0" w:color="auto"/>
        <w:right w:val="none" w:sz="0" w:space="0" w:color="auto"/>
      </w:divBdr>
    </w:div>
    <w:div w:id="1624311674">
      <w:bodyDiv w:val="1"/>
      <w:marLeft w:val="0"/>
      <w:marRight w:val="0"/>
      <w:marTop w:val="0"/>
      <w:marBottom w:val="0"/>
      <w:divBdr>
        <w:top w:val="none" w:sz="0" w:space="0" w:color="auto"/>
        <w:left w:val="none" w:sz="0" w:space="0" w:color="auto"/>
        <w:bottom w:val="none" w:sz="0" w:space="0" w:color="auto"/>
        <w:right w:val="none" w:sz="0" w:space="0" w:color="auto"/>
      </w:divBdr>
    </w:div>
    <w:div w:id="1628512402">
      <w:bodyDiv w:val="1"/>
      <w:marLeft w:val="0"/>
      <w:marRight w:val="0"/>
      <w:marTop w:val="0"/>
      <w:marBottom w:val="0"/>
      <w:divBdr>
        <w:top w:val="none" w:sz="0" w:space="0" w:color="auto"/>
        <w:left w:val="none" w:sz="0" w:space="0" w:color="auto"/>
        <w:bottom w:val="none" w:sz="0" w:space="0" w:color="auto"/>
        <w:right w:val="none" w:sz="0" w:space="0" w:color="auto"/>
      </w:divBdr>
    </w:div>
    <w:div w:id="1660840169">
      <w:bodyDiv w:val="1"/>
      <w:marLeft w:val="0"/>
      <w:marRight w:val="0"/>
      <w:marTop w:val="0"/>
      <w:marBottom w:val="0"/>
      <w:divBdr>
        <w:top w:val="none" w:sz="0" w:space="0" w:color="auto"/>
        <w:left w:val="none" w:sz="0" w:space="0" w:color="auto"/>
        <w:bottom w:val="none" w:sz="0" w:space="0" w:color="auto"/>
        <w:right w:val="none" w:sz="0" w:space="0" w:color="auto"/>
      </w:divBdr>
      <w:divsChild>
        <w:div w:id="2020812855">
          <w:marLeft w:val="0"/>
          <w:marRight w:val="0"/>
          <w:marTop w:val="0"/>
          <w:marBottom w:val="0"/>
          <w:divBdr>
            <w:top w:val="none" w:sz="0" w:space="0" w:color="auto"/>
            <w:left w:val="none" w:sz="0" w:space="0" w:color="auto"/>
            <w:bottom w:val="none" w:sz="0" w:space="0" w:color="auto"/>
            <w:right w:val="none" w:sz="0" w:space="0" w:color="auto"/>
          </w:divBdr>
        </w:div>
      </w:divsChild>
    </w:div>
    <w:div w:id="1682270683">
      <w:bodyDiv w:val="1"/>
      <w:marLeft w:val="0"/>
      <w:marRight w:val="0"/>
      <w:marTop w:val="0"/>
      <w:marBottom w:val="0"/>
      <w:divBdr>
        <w:top w:val="none" w:sz="0" w:space="0" w:color="auto"/>
        <w:left w:val="none" w:sz="0" w:space="0" w:color="auto"/>
        <w:bottom w:val="none" w:sz="0" w:space="0" w:color="auto"/>
        <w:right w:val="none" w:sz="0" w:space="0" w:color="auto"/>
      </w:divBdr>
      <w:divsChild>
        <w:div w:id="978611317">
          <w:marLeft w:val="0"/>
          <w:marRight w:val="0"/>
          <w:marTop w:val="0"/>
          <w:marBottom w:val="0"/>
          <w:divBdr>
            <w:top w:val="none" w:sz="0" w:space="0" w:color="auto"/>
            <w:left w:val="none" w:sz="0" w:space="0" w:color="auto"/>
            <w:bottom w:val="none" w:sz="0" w:space="0" w:color="auto"/>
            <w:right w:val="none" w:sz="0" w:space="0" w:color="auto"/>
          </w:divBdr>
        </w:div>
      </w:divsChild>
    </w:div>
    <w:div w:id="1682393199">
      <w:bodyDiv w:val="1"/>
      <w:marLeft w:val="0"/>
      <w:marRight w:val="0"/>
      <w:marTop w:val="0"/>
      <w:marBottom w:val="0"/>
      <w:divBdr>
        <w:top w:val="none" w:sz="0" w:space="0" w:color="auto"/>
        <w:left w:val="none" w:sz="0" w:space="0" w:color="auto"/>
        <w:bottom w:val="none" w:sz="0" w:space="0" w:color="auto"/>
        <w:right w:val="none" w:sz="0" w:space="0" w:color="auto"/>
      </w:divBdr>
      <w:divsChild>
        <w:div w:id="1933469542">
          <w:marLeft w:val="0"/>
          <w:marRight w:val="0"/>
          <w:marTop w:val="0"/>
          <w:marBottom w:val="0"/>
          <w:divBdr>
            <w:top w:val="none" w:sz="0" w:space="0" w:color="auto"/>
            <w:left w:val="none" w:sz="0" w:space="0" w:color="auto"/>
            <w:bottom w:val="none" w:sz="0" w:space="0" w:color="auto"/>
            <w:right w:val="none" w:sz="0" w:space="0" w:color="auto"/>
          </w:divBdr>
        </w:div>
      </w:divsChild>
    </w:div>
    <w:div w:id="1683623781">
      <w:bodyDiv w:val="1"/>
      <w:marLeft w:val="0"/>
      <w:marRight w:val="0"/>
      <w:marTop w:val="0"/>
      <w:marBottom w:val="0"/>
      <w:divBdr>
        <w:top w:val="none" w:sz="0" w:space="0" w:color="auto"/>
        <w:left w:val="none" w:sz="0" w:space="0" w:color="auto"/>
        <w:bottom w:val="none" w:sz="0" w:space="0" w:color="auto"/>
        <w:right w:val="none" w:sz="0" w:space="0" w:color="auto"/>
      </w:divBdr>
      <w:divsChild>
        <w:div w:id="2057855869">
          <w:marLeft w:val="126"/>
          <w:marRight w:val="126"/>
          <w:marTop w:val="0"/>
          <w:marBottom w:val="126"/>
          <w:divBdr>
            <w:top w:val="none" w:sz="0" w:space="0" w:color="auto"/>
            <w:left w:val="none" w:sz="0" w:space="0" w:color="auto"/>
            <w:bottom w:val="none" w:sz="0" w:space="0" w:color="auto"/>
            <w:right w:val="none" w:sz="0" w:space="0" w:color="auto"/>
          </w:divBdr>
          <w:divsChild>
            <w:div w:id="1122074012">
              <w:marLeft w:val="0"/>
              <w:marRight w:val="0"/>
              <w:marTop w:val="0"/>
              <w:marBottom w:val="0"/>
              <w:divBdr>
                <w:top w:val="none" w:sz="0" w:space="0" w:color="auto"/>
                <w:left w:val="none" w:sz="0" w:space="0" w:color="auto"/>
                <w:bottom w:val="none" w:sz="0" w:space="0" w:color="auto"/>
                <w:right w:val="none" w:sz="0" w:space="0" w:color="auto"/>
              </w:divBdr>
              <w:divsChild>
                <w:div w:id="936866658">
                  <w:marLeft w:val="0"/>
                  <w:marRight w:val="0"/>
                  <w:marTop w:val="0"/>
                  <w:marBottom w:val="0"/>
                  <w:divBdr>
                    <w:top w:val="none" w:sz="0" w:space="0" w:color="auto"/>
                    <w:left w:val="none" w:sz="0" w:space="0" w:color="auto"/>
                    <w:bottom w:val="none" w:sz="0" w:space="0" w:color="auto"/>
                    <w:right w:val="none" w:sz="0" w:space="0" w:color="auto"/>
                  </w:divBdr>
                </w:div>
                <w:div w:id="285625375">
                  <w:marLeft w:val="0"/>
                  <w:marRight w:val="108"/>
                  <w:marTop w:val="18"/>
                  <w:marBottom w:val="108"/>
                  <w:divBdr>
                    <w:top w:val="none" w:sz="0" w:space="0" w:color="auto"/>
                    <w:left w:val="none" w:sz="0" w:space="0" w:color="auto"/>
                    <w:bottom w:val="none" w:sz="0" w:space="0" w:color="auto"/>
                    <w:right w:val="none" w:sz="0" w:space="0" w:color="auto"/>
                  </w:divBdr>
                  <w:divsChild>
                    <w:div w:id="1300763613">
                      <w:marLeft w:val="0"/>
                      <w:marRight w:val="0"/>
                      <w:marTop w:val="0"/>
                      <w:marBottom w:val="0"/>
                      <w:divBdr>
                        <w:top w:val="none" w:sz="0" w:space="0" w:color="auto"/>
                        <w:left w:val="none" w:sz="0" w:space="0" w:color="auto"/>
                        <w:bottom w:val="none" w:sz="0" w:space="0" w:color="auto"/>
                        <w:right w:val="none" w:sz="0" w:space="0" w:color="auto"/>
                      </w:divBdr>
                      <w:divsChild>
                        <w:div w:id="2074422500">
                          <w:marLeft w:val="0"/>
                          <w:marRight w:val="0"/>
                          <w:marTop w:val="0"/>
                          <w:marBottom w:val="0"/>
                          <w:divBdr>
                            <w:top w:val="none" w:sz="0" w:space="0" w:color="auto"/>
                            <w:left w:val="none" w:sz="0" w:space="0" w:color="auto"/>
                            <w:bottom w:val="none" w:sz="0" w:space="0" w:color="auto"/>
                            <w:right w:val="none" w:sz="0" w:space="0" w:color="auto"/>
                          </w:divBdr>
                          <w:divsChild>
                            <w:div w:id="285544519">
                              <w:marLeft w:val="0"/>
                              <w:marRight w:val="0"/>
                              <w:marTop w:val="0"/>
                              <w:marBottom w:val="0"/>
                              <w:divBdr>
                                <w:top w:val="none" w:sz="0" w:space="0" w:color="auto"/>
                                <w:left w:val="none" w:sz="0" w:space="0" w:color="auto"/>
                                <w:bottom w:val="none" w:sz="0" w:space="0" w:color="auto"/>
                                <w:right w:val="none" w:sz="0" w:space="0" w:color="auto"/>
                              </w:divBdr>
                              <w:divsChild>
                                <w:div w:id="5570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86552">
                  <w:marLeft w:val="0"/>
                  <w:marRight w:val="0"/>
                  <w:marTop w:val="0"/>
                  <w:marBottom w:val="0"/>
                  <w:divBdr>
                    <w:top w:val="none" w:sz="0" w:space="0" w:color="auto"/>
                    <w:left w:val="none" w:sz="0" w:space="0" w:color="auto"/>
                    <w:bottom w:val="none" w:sz="0" w:space="0" w:color="auto"/>
                    <w:right w:val="none" w:sz="0" w:space="0" w:color="auto"/>
                  </w:divBdr>
                  <w:divsChild>
                    <w:div w:id="1497065105">
                      <w:marLeft w:val="0"/>
                      <w:marRight w:val="0"/>
                      <w:marTop w:val="0"/>
                      <w:marBottom w:val="0"/>
                      <w:divBdr>
                        <w:top w:val="none" w:sz="0" w:space="0" w:color="auto"/>
                        <w:left w:val="none" w:sz="0" w:space="0" w:color="auto"/>
                        <w:bottom w:val="none" w:sz="0" w:space="0" w:color="auto"/>
                        <w:right w:val="none" w:sz="0" w:space="0" w:color="auto"/>
                      </w:divBdr>
                    </w:div>
                  </w:divsChild>
                </w:div>
                <w:div w:id="670564884">
                  <w:marLeft w:val="0"/>
                  <w:marRight w:val="108"/>
                  <w:marTop w:val="108"/>
                  <w:marBottom w:val="108"/>
                  <w:divBdr>
                    <w:top w:val="none" w:sz="0" w:space="0" w:color="auto"/>
                    <w:left w:val="none" w:sz="0" w:space="0" w:color="auto"/>
                    <w:bottom w:val="none" w:sz="0" w:space="0" w:color="auto"/>
                    <w:right w:val="none" w:sz="0" w:space="0" w:color="auto"/>
                  </w:divBdr>
                  <w:divsChild>
                    <w:div w:id="1527447977">
                      <w:marLeft w:val="0"/>
                      <w:marRight w:val="0"/>
                      <w:marTop w:val="0"/>
                      <w:marBottom w:val="0"/>
                      <w:divBdr>
                        <w:top w:val="none" w:sz="0" w:space="0" w:color="auto"/>
                        <w:left w:val="none" w:sz="0" w:space="0" w:color="auto"/>
                        <w:bottom w:val="none" w:sz="0" w:space="0" w:color="auto"/>
                        <w:right w:val="none" w:sz="0" w:space="0" w:color="auto"/>
                      </w:divBdr>
                      <w:divsChild>
                        <w:div w:id="982541668">
                          <w:marLeft w:val="0"/>
                          <w:marRight w:val="0"/>
                          <w:marTop w:val="0"/>
                          <w:marBottom w:val="0"/>
                          <w:divBdr>
                            <w:top w:val="none" w:sz="0" w:space="0" w:color="auto"/>
                            <w:left w:val="none" w:sz="0" w:space="0" w:color="auto"/>
                            <w:bottom w:val="none" w:sz="0" w:space="0" w:color="auto"/>
                            <w:right w:val="none" w:sz="0" w:space="0" w:color="auto"/>
                          </w:divBdr>
                          <w:divsChild>
                            <w:div w:id="1315914127">
                              <w:marLeft w:val="0"/>
                              <w:marRight w:val="0"/>
                              <w:marTop w:val="0"/>
                              <w:marBottom w:val="0"/>
                              <w:divBdr>
                                <w:top w:val="none" w:sz="0" w:space="0" w:color="auto"/>
                                <w:left w:val="none" w:sz="0" w:space="0" w:color="auto"/>
                                <w:bottom w:val="none" w:sz="0" w:space="0" w:color="auto"/>
                                <w:right w:val="none" w:sz="0" w:space="0" w:color="auto"/>
                              </w:divBdr>
                              <w:divsChild>
                                <w:div w:id="12971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211104">
      <w:bodyDiv w:val="1"/>
      <w:marLeft w:val="0"/>
      <w:marRight w:val="0"/>
      <w:marTop w:val="0"/>
      <w:marBottom w:val="0"/>
      <w:divBdr>
        <w:top w:val="none" w:sz="0" w:space="0" w:color="auto"/>
        <w:left w:val="none" w:sz="0" w:space="0" w:color="auto"/>
        <w:bottom w:val="none" w:sz="0" w:space="0" w:color="auto"/>
        <w:right w:val="none" w:sz="0" w:space="0" w:color="auto"/>
      </w:divBdr>
      <w:divsChild>
        <w:div w:id="1781141377">
          <w:marLeft w:val="0"/>
          <w:marRight w:val="108"/>
          <w:marTop w:val="18"/>
          <w:marBottom w:val="108"/>
          <w:divBdr>
            <w:top w:val="none" w:sz="0" w:space="0" w:color="auto"/>
            <w:left w:val="none" w:sz="0" w:space="0" w:color="auto"/>
            <w:bottom w:val="none" w:sz="0" w:space="0" w:color="auto"/>
            <w:right w:val="none" w:sz="0" w:space="0" w:color="auto"/>
          </w:divBdr>
          <w:divsChild>
            <w:div w:id="117574389">
              <w:marLeft w:val="0"/>
              <w:marRight w:val="0"/>
              <w:marTop w:val="0"/>
              <w:marBottom w:val="0"/>
              <w:divBdr>
                <w:top w:val="none" w:sz="0" w:space="0" w:color="auto"/>
                <w:left w:val="none" w:sz="0" w:space="0" w:color="auto"/>
                <w:bottom w:val="none" w:sz="0" w:space="0" w:color="auto"/>
                <w:right w:val="none" w:sz="0" w:space="0" w:color="auto"/>
              </w:divBdr>
              <w:divsChild>
                <w:div w:id="1837916013">
                  <w:marLeft w:val="0"/>
                  <w:marRight w:val="0"/>
                  <w:marTop w:val="0"/>
                  <w:marBottom w:val="0"/>
                  <w:divBdr>
                    <w:top w:val="none" w:sz="0" w:space="0" w:color="auto"/>
                    <w:left w:val="none" w:sz="0" w:space="0" w:color="auto"/>
                    <w:bottom w:val="none" w:sz="0" w:space="0" w:color="auto"/>
                    <w:right w:val="none" w:sz="0" w:space="0" w:color="auto"/>
                  </w:divBdr>
                  <w:divsChild>
                    <w:div w:id="1879121556">
                      <w:marLeft w:val="0"/>
                      <w:marRight w:val="0"/>
                      <w:marTop w:val="0"/>
                      <w:marBottom w:val="0"/>
                      <w:divBdr>
                        <w:top w:val="none" w:sz="0" w:space="0" w:color="auto"/>
                        <w:left w:val="none" w:sz="0" w:space="0" w:color="auto"/>
                        <w:bottom w:val="none" w:sz="0" w:space="0" w:color="auto"/>
                        <w:right w:val="none" w:sz="0" w:space="0" w:color="auto"/>
                      </w:divBdr>
                      <w:divsChild>
                        <w:div w:id="14363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598681">
      <w:bodyDiv w:val="1"/>
      <w:marLeft w:val="0"/>
      <w:marRight w:val="0"/>
      <w:marTop w:val="0"/>
      <w:marBottom w:val="0"/>
      <w:divBdr>
        <w:top w:val="none" w:sz="0" w:space="0" w:color="auto"/>
        <w:left w:val="none" w:sz="0" w:space="0" w:color="auto"/>
        <w:bottom w:val="none" w:sz="0" w:space="0" w:color="auto"/>
        <w:right w:val="none" w:sz="0" w:space="0" w:color="auto"/>
      </w:divBdr>
    </w:div>
    <w:div w:id="1721897008">
      <w:bodyDiv w:val="1"/>
      <w:marLeft w:val="0"/>
      <w:marRight w:val="0"/>
      <w:marTop w:val="0"/>
      <w:marBottom w:val="0"/>
      <w:divBdr>
        <w:top w:val="none" w:sz="0" w:space="0" w:color="auto"/>
        <w:left w:val="none" w:sz="0" w:space="0" w:color="auto"/>
        <w:bottom w:val="none" w:sz="0" w:space="0" w:color="auto"/>
        <w:right w:val="none" w:sz="0" w:space="0" w:color="auto"/>
      </w:divBdr>
      <w:divsChild>
        <w:div w:id="1635940892">
          <w:marLeft w:val="0"/>
          <w:marRight w:val="0"/>
          <w:marTop w:val="0"/>
          <w:marBottom w:val="0"/>
          <w:divBdr>
            <w:top w:val="none" w:sz="0" w:space="0" w:color="auto"/>
            <w:left w:val="none" w:sz="0" w:space="0" w:color="auto"/>
            <w:bottom w:val="none" w:sz="0" w:space="0" w:color="auto"/>
            <w:right w:val="none" w:sz="0" w:space="0" w:color="auto"/>
          </w:divBdr>
        </w:div>
        <w:div w:id="1028023212">
          <w:marLeft w:val="0"/>
          <w:marRight w:val="0"/>
          <w:marTop w:val="0"/>
          <w:marBottom w:val="0"/>
          <w:divBdr>
            <w:top w:val="none" w:sz="0" w:space="0" w:color="auto"/>
            <w:left w:val="none" w:sz="0" w:space="0" w:color="auto"/>
            <w:bottom w:val="none" w:sz="0" w:space="0" w:color="auto"/>
            <w:right w:val="none" w:sz="0" w:space="0" w:color="auto"/>
          </w:divBdr>
        </w:div>
      </w:divsChild>
    </w:div>
    <w:div w:id="1761678967">
      <w:bodyDiv w:val="1"/>
      <w:marLeft w:val="0"/>
      <w:marRight w:val="0"/>
      <w:marTop w:val="0"/>
      <w:marBottom w:val="0"/>
      <w:divBdr>
        <w:top w:val="none" w:sz="0" w:space="0" w:color="auto"/>
        <w:left w:val="none" w:sz="0" w:space="0" w:color="auto"/>
        <w:bottom w:val="none" w:sz="0" w:space="0" w:color="auto"/>
        <w:right w:val="none" w:sz="0" w:space="0" w:color="auto"/>
      </w:divBdr>
      <w:divsChild>
        <w:div w:id="1547447165">
          <w:marLeft w:val="0"/>
          <w:marRight w:val="0"/>
          <w:marTop w:val="0"/>
          <w:marBottom w:val="0"/>
          <w:divBdr>
            <w:top w:val="none" w:sz="0" w:space="0" w:color="auto"/>
            <w:left w:val="none" w:sz="0" w:space="0" w:color="auto"/>
            <w:bottom w:val="none" w:sz="0" w:space="0" w:color="auto"/>
            <w:right w:val="none" w:sz="0" w:space="0" w:color="auto"/>
          </w:divBdr>
        </w:div>
      </w:divsChild>
    </w:div>
    <w:div w:id="1765149007">
      <w:bodyDiv w:val="1"/>
      <w:marLeft w:val="0"/>
      <w:marRight w:val="0"/>
      <w:marTop w:val="0"/>
      <w:marBottom w:val="0"/>
      <w:divBdr>
        <w:top w:val="none" w:sz="0" w:space="0" w:color="auto"/>
        <w:left w:val="none" w:sz="0" w:space="0" w:color="auto"/>
        <w:bottom w:val="none" w:sz="0" w:space="0" w:color="auto"/>
        <w:right w:val="none" w:sz="0" w:space="0" w:color="auto"/>
      </w:divBdr>
      <w:divsChild>
        <w:div w:id="69814570">
          <w:marLeft w:val="0"/>
          <w:marRight w:val="0"/>
          <w:marTop w:val="0"/>
          <w:marBottom w:val="0"/>
          <w:divBdr>
            <w:top w:val="none" w:sz="0" w:space="0" w:color="auto"/>
            <w:left w:val="none" w:sz="0" w:space="0" w:color="auto"/>
            <w:bottom w:val="none" w:sz="0" w:space="0" w:color="auto"/>
            <w:right w:val="none" w:sz="0" w:space="0" w:color="auto"/>
          </w:divBdr>
        </w:div>
        <w:div w:id="1873298373">
          <w:marLeft w:val="0"/>
          <w:marRight w:val="0"/>
          <w:marTop w:val="0"/>
          <w:marBottom w:val="0"/>
          <w:divBdr>
            <w:top w:val="none" w:sz="0" w:space="0" w:color="auto"/>
            <w:left w:val="none" w:sz="0" w:space="0" w:color="auto"/>
            <w:bottom w:val="none" w:sz="0" w:space="0" w:color="auto"/>
            <w:right w:val="none" w:sz="0" w:space="0" w:color="auto"/>
          </w:divBdr>
        </w:div>
      </w:divsChild>
    </w:div>
    <w:div w:id="1775399248">
      <w:bodyDiv w:val="1"/>
      <w:marLeft w:val="0"/>
      <w:marRight w:val="0"/>
      <w:marTop w:val="0"/>
      <w:marBottom w:val="0"/>
      <w:divBdr>
        <w:top w:val="none" w:sz="0" w:space="0" w:color="auto"/>
        <w:left w:val="none" w:sz="0" w:space="0" w:color="auto"/>
        <w:bottom w:val="none" w:sz="0" w:space="0" w:color="auto"/>
        <w:right w:val="none" w:sz="0" w:space="0" w:color="auto"/>
      </w:divBdr>
      <w:divsChild>
        <w:div w:id="1158616168">
          <w:marLeft w:val="0"/>
          <w:marRight w:val="108"/>
          <w:marTop w:val="18"/>
          <w:marBottom w:val="108"/>
          <w:divBdr>
            <w:top w:val="none" w:sz="0" w:space="0" w:color="auto"/>
            <w:left w:val="none" w:sz="0" w:space="0" w:color="auto"/>
            <w:bottom w:val="none" w:sz="0" w:space="0" w:color="auto"/>
            <w:right w:val="none" w:sz="0" w:space="0" w:color="auto"/>
          </w:divBdr>
          <w:divsChild>
            <w:div w:id="1046904059">
              <w:marLeft w:val="0"/>
              <w:marRight w:val="0"/>
              <w:marTop w:val="0"/>
              <w:marBottom w:val="0"/>
              <w:divBdr>
                <w:top w:val="none" w:sz="0" w:space="0" w:color="auto"/>
                <w:left w:val="none" w:sz="0" w:space="0" w:color="auto"/>
                <w:bottom w:val="none" w:sz="0" w:space="0" w:color="auto"/>
                <w:right w:val="none" w:sz="0" w:space="0" w:color="auto"/>
              </w:divBdr>
              <w:divsChild>
                <w:div w:id="1733039681">
                  <w:marLeft w:val="0"/>
                  <w:marRight w:val="0"/>
                  <w:marTop w:val="0"/>
                  <w:marBottom w:val="0"/>
                  <w:divBdr>
                    <w:top w:val="none" w:sz="0" w:space="0" w:color="auto"/>
                    <w:left w:val="none" w:sz="0" w:space="0" w:color="auto"/>
                    <w:bottom w:val="none" w:sz="0" w:space="0" w:color="auto"/>
                    <w:right w:val="none" w:sz="0" w:space="0" w:color="auto"/>
                  </w:divBdr>
                  <w:divsChild>
                    <w:div w:id="118838511">
                      <w:marLeft w:val="0"/>
                      <w:marRight w:val="0"/>
                      <w:marTop w:val="0"/>
                      <w:marBottom w:val="0"/>
                      <w:divBdr>
                        <w:top w:val="none" w:sz="0" w:space="0" w:color="auto"/>
                        <w:left w:val="none" w:sz="0" w:space="0" w:color="auto"/>
                        <w:bottom w:val="none" w:sz="0" w:space="0" w:color="auto"/>
                        <w:right w:val="none" w:sz="0" w:space="0" w:color="auto"/>
                      </w:divBdr>
                      <w:divsChild>
                        <w:div w:id="1120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9246">
      <w:bodyDiv w:val="1"/>
      <w:marLeft w:val="0"/>
      <w:marRight w:val="0"/>
      <w:marTop w:val="0"/>
      <w:marBottom w:val="0"/>
      <w:divBdr>
        <w:top w:val="none" w:sz="0" w:space="0" w:color="auto"/>
        <w:left w:val="none" w:sz="0" w:space="0" w:color="auto"/>
        <w:bottom w:val="none" w:sz="0" w:space="0" w:color="auto"/>
        <w:right w:val="none" w:sz="0" w:space="0" w:color="auto"/>
      </w:divBdr>
    </w:div>
    <w:div w:id="1782991330">
      <w:bodyDiv w:val="1"/>
      <w:marLeft w:val="0"/>
      <w:marRight w:val="0"/>
      <w:marTop w:val="0"/>
      <w:marBottom w:val="0"/>
      <w:divBdr>
        <w:top w:val="none" w:sz="0" w:space="0" w:color="auto"/>
        <w:left w:val="none" w:sz="0" w:space="0" w:color="auto"/>
        <w:bottom w:val="none" w:sz="0" w:space="0" w:color="auto"/>
        <w:right w:val="none" w:sz="0" w:space="0" w:color="auto"/>
      </w:divBdr>
    </w:div>
    <w:div w:id="1783257987">
      <w:bodyDiv w:val="1"/>
      <w:marLeft w:val="0"/>
      <w:marRight w:val="0"/>
      <w:marTop w:val="0"/>
      <w:marBottom w:val="0"/>
      <w:divBdr>
        <w:top w:val="none" w:sz="0" w:space="0" w:color="auto"/>
        <w:left w:val="none" w:sz="0" w:space="0" w:color="auto"/>
        <w:bottom w:val="none" w:sz="0" w:space="0" w:color="auto"/>
        <w:right w:val="none" w:sz="0" w:space="0" w:color="auto"/>
      </w:divBdr>
      <w:divsChild>
        <w:div w:id="952203158">
          <w:marLeft w:val="126"/>
          <w:marRight w:val="126"/>
          <w:marTop w:val="0"/>
          <w:marBottom w:val="126"/>
          <w:divBdr>
            <w:top w:val="none" w:sz="0" w:space="0" w:color="auto"/>
            <w:left w:val="none" w:sz="0" w:space="0" w:color="auto"/>
            <w:bottom w:val="none" w:sz="0" w:space="0" w:color="auto"/>
            <w:right w:val="none" w:sz="0" w:space="0" w:color="auto"/>
          </w:divBdr>
          <w:divsChild>
            <w:div w:id="1237739449">
              <w:marLeft w:val="0"/>
              <w:marRight w:val="0"/>
              <w:marTop w:val="0"/>
              <w:marBottom w:val="0"/>
              <w:divBdr>
                <w:top w:val="none" w:sz="0" w:space="0" w:color="auto"/>
                <w:left w:val="none" w:sz="0" w:space="0" w:color="auto"/>
                <w:bottom w:val="none" w:sz="0" w:space="0" w:color="auto"/>
                <w:right w:val="none" w:sz="0" w:space="0" w:color="auto"/>
              </w:divBdr>
              <w:divsChild>
                <w:div w:id="1457598910">
                  <w:marLeft w:val="0"/>
                  <w:marRight w:val="0"/>
                  <w:marTop w:val="0"/>
                  <w:marBottom w:val="0"/>
                  <w:divBdr>
                    <w:top w:val="none" w:sz="0" w:space="0" w:color="auto"/>
                    <w:left w:val="none" w:sz="0" w:space="0" w:color="auto"/>
                    <w:bottom w:val="none" w:sz="0" w:space="0" w:color="auto"/>
                    <w:right w:val="none" w:sz="0" w:space="0" w:color="auto"/>
                  </w:divBdr>
                </w:div>
                <w:div w:id="582179298">
                  <w:marLeft w:val="0"/>
                  <w:marRight w:val="108"/>
                  <w:marTop w:val="18"/>
                  <w:marBottom w:val="108"/>
                  <w:divBdr>
                    <w:top w:val="none" w:sz="0" w:space="0" w:color="auto"/>
                    <w:left w:val="none" w:sz="0" w:space="0" w:color="auto"/>
                    <w:bottom w:val="none" w:sz="0" w:space="0" w:color="auto"/>
                    <w:right w:val="none" w:sz="0" w:space="0" w:color="auto"/>
                  </w:divBdr>
                  <w:divsChild>
                    <w:div w:id="680474972">
                      <w:marLeft w:val="0"/>
                      <w:marRight w:val="0"/>
                      <w:marTop w:val="0"/>
                      <w:marBottom w:val="0"/>
                      <w:divBdr>
                        <w:top w:val="none" w:sz="0" w:space="0" w:color="auto"/>
                        <w:left w:val="none" w:sz="0" w:space="0" w:color="auto"/>
                        <w:bottom w:val="none" w:sz="0" w:space="0" w:color="auto"/>
                        <w:right w:val="none" w:sz="0" w:space="0" w:color="auto"/>
                      </w:divBdr>
                      <w:divsChild>
                        <w:div w:id="706218232">
                          <w:marLeft w:val="0"/>
                          <w:marRight w:val="0"/>
                          <w:marTop w:val="0"/>
                          <w:marBottom w:val="0"/>
                          <w:divBdr>
                            <w:top w:val="none" w:sz="0" w:space="0" w:color="auto"/>
                            <w:left w:val="none" w:sz="0" w:space="0" w:color="auto"/>
                            <w:bottom w:val="none" w:sz="0" w:space="0" w:color="auto"/>
                            <w:right w:val="none" w:sz="0" w:space="0" w:color="auto"/>
                          </w:divBdr>
                          <w:divsChild>
                            <w:div w:id="1021396298">
                              <w:marLeft w:val="0"/>
                              <w:marRight w:val="0"/>
                              <w:marTop w:val="0"/>
                              <w:marBottom w:val="0"/>
                              <w:divBdr>
                                <w:top w:val="none" w:sz="0" w:space="0" w:color="auto"/>
                                <w:left w:val="none" w:sz="0" w:space="0" w:color="auto"/>
                                <w:bottom w:val="none" w:sz="0" w:space="0" w:color="auto"/>
                                <w:right w:val="none" w:sz="0" w:space="0" w:color="auto"/>
                              </w:divBdr>
                              <w:divsChild>
                                <w:div w:id="17231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66097">
      <w:bodyDiv w:val="1"/>
      <w:marLeft w:val="0"/>
      <w:marRight w:val="0"/>
      <w:marTop w:val="0"/>
      <w:marBottom w:val="0"/>
      <w:divBdr>
        <w:top w:val="none" w:sz="0" w:space="0" w:color="auto"/>
        <w:left w:val="none" w:sz="0" w:space="0" w:color="auto"/>
        <w:bottom w:val="none" w:sz="0" w:space="0" w:color="auto"/>
        <w:right w:val="none" w:sz="0" w:space="0" w:color="auto"/>
      </w:divBdr>
      <w:divsChild>
        <w:div w:id="1720545697">
          <w:marLeft w:val="0"/>
          <w:marRight w:val="0"/>
          <w:marTop w:val="0"/>
          <w:marBottom w:val="0"/>
          <w:divBdr>
            <w:top w:val="none" w:sz="0" w:space="0" w:color="auto"/>
            <w:left w:val="none" w:sz="0" w:space="0" w:color="auto"/>
            <w:bottom w:val="none" w:sz="0" w:space="0" w:color="auto"/>
            <w:right w:val="none" w:sz="0" w:space="0" w:color="auto"/>
          </w:divBdr>
          <w:divsChild>
            <w:div w:id="543980202">
              <w:marLeft w:val="0"/>
              <w:marRight w:val="0"/>
              <w:marTop w:val="0"/>
              <w:marBottom w:val="0"/>
              <w:divBdr>
                <w:top w:val="none" w:sz="0" w:space="0" w:color="auto"/>
                <w:left w:val="none" w:sz="0" w:space="0" w:color="auto"/>
                <w:bottom w:val="none" w:sz="0" w:space="0" w:color="auto"/>
                <w:right w:val="none" w:sz="0" w:space="0" w:color="auto"/>
              </w:divBdr>
              <w:divsChild>
                <w:div w:id="11747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3295">
      <w:bodyDiv w:val="1"/>
      <w:marLeft w:val="0"/>
      <w:marRight w:val="0"/>
      <w:marTop w:val="0"/>
      <w:marBottom w:val="0"/>
      <w:divBdr>
        <w:top w:val="none" w:sz="0" w:space="0" w:color="auto"/>
        <w:left w:val="none" w:sz="0" w:space="0" w:color="auto"/>
        <w:bottom w:val="none" w:sz="0" w:space="0" w:color="auto"/>
        <w:right w:val="none" w:sz="0" w:space="0" w:color="auto"/>
      </w:divBdr>
      <w:divsChild>
        <w:div w:id="1969512788">
          <w:marLeft w:val="0"/>
          <w:marRight w:val="108"/>
          <w:marTop w:val="18"/>
          <w:marBottom w:val="108"/>
          <w:divBdr>
            <w:top w:val="none" w:sz="0" w:space="0" w:color="auto"/>
            <w:left w:val="none" w:sz="0" w:space="0" w:color="auto"/>
            <w:bottom w:val="none" w:sz="0" w:space="0" w:color="auto"/>
            <w:right w:val="none" w:sz="0" w:space="0" w:color="auto"/>
          </w:divBdr>
          <w:divsChild>
            <w:div w:id="1530603642">
              <w:marLeft w:val="0"/>
              <w:marRight w:val="0"/>
              <w:marTop w:val="0"/>
              <w:marBottom w:val="0"/>
              <w:divBdr>
                <w:top w:val="none" w:sz="0" w:space="0" w:color="auto"/>
                <w:left w:val="none" w:sz="0" w:space="0" w:color="auto"/>
                <w:bottom w:val="none" w:sz="0" w:space="0" w:color="auto"/>
                <w:right w:val="none" w:sz="0" w:space="0" w:color="auto"/>
              </w:divBdr>
              <w:divsChild>
                <w:div w:id="2068993419">
                  <w:marLeft w:val="0"/>
                  <w:marRight w:val="0"/>
                  <w:marTop w:val="0"/>
                  <w:marBottom w:val="0"/>
                  <w:divBdr>
                    <w:top w:val="none" w:sz="0" w:space="0" w:color="auto"/>
                    <w:left w:val="none" w:sz="0" w:space="0" w:color="auto"/>
                    <w:bottom w:val="none" w:sz="0" w:space="0" w:color="auto"/>
                    <w:right w:val="none" w:sz="0" w:space="0" w:color="auto"/>
                  </w:divBdr>
                  <w:divsChild>
                    <w:div w:id="1920558169">
                      <w:marLeft w:val="0"/>
                      <w:marRight w:val="0"/>
                      <w:marTop w:val="0"/>
                      <w:marBottom w:val="0"/>
                      <w:divBdr>
                        <w:top w:val="none" w:sz="0" w:space="0" w:color="auto"/>
                        <w:left w:val="none" w:sz="0" w:space="0" w:color="auto"/>
                        <w:bottom w:val="none" w:sz="0" w:space="0" w:color="auto"/>
                        <w:right w:val="none" w:sz="0" w:space="0" w:color="auto"/>
                      </w:divBdr>
                      <w:divsChild>
                        <w:div w:id="17572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943057">
      <w:bodyDiv w:val="1"/>
      <w:marLeft w:val="0"/>
      <w:marRight w:val="0"/>
      <w:marTop w:val="0"/>
      <w:marBottom w:val="0"/>
      <w:divBdr>
        <w:top w:val="none" w:sz="0" w:space="0" w:color="auto"/>
        <w:left w:val="none" w:sz="0" w:space="0" w:color="auto"/>
        <w:bottom w:val="none" w:sz="0" w:space="0" w:color="auto"/>
        <w:right w:val="none" w:sz="0" w:space="0" w:color="auto"/>
      </w:divBdr>
      <w:divsChild>
        <w:div w:id="1964338106">
          <w:marLeft w:val="0"/>
          <w:marRight w:val="0"/>
          <w:marTop w:val="0"/>
          <w:marBottom w:val="0"/>
          <w:divBdr>
            <w:top w:val="none" w:sz="0" w:space="0" w:color="auto"/>
            <w:left w:val="none" w:sz="0" w:space="0" w:color="auto"/>
            <w:bottom w:val="none" w:sz="0" w:space="0" w:color="auto"/>
            <w:right w:val="none" w:sz="0" w:space="0" w:color="auto"/>
          </w:divBdr>
        </w:div>
      </w:divsChild>
    </w:div>
    <w:div w:id="1803110878">
      <w:bodyDiv w:val="1"/>
      <w:marLeft w:val="0"/>
      <w:marRight w:val="0"/>
      <w:marTop w:val="0"/>
      <w:marBottom w:val="0"/>
      <w:divBdr>
        <w:top w:val="none" w:sz="0" w:space="0" w:color="auto"/>
        <w:left w:val="none" w:sz="0" w:space="0" w:color="auto"/>
        <w:bottom w:val="none" w:sz="0" w:space="0" w:color="auto"/>
        <w:right w:val="none" w:sz="0" w:space="0" w:color="auto"/>
      </w:divBdr>
    </w:div>
    <w:div w:id="1805149474">
      <w:bodyDiv w:val="1"/>
      <w:marLeft w:val="0"/>
      <w:marRight w:val="0"/>
      <w:marTop w:val="0"/>
      <w:marBottom w:val="0"/>
      <w:divBdr>
        <w:top w:val="none" w:sz="0" w:space="0" w:color="auto"/>
        <w:left w:val="none" w:sz="0" w:space="0" w:color="auto"/>
        <w:bottom w:val="none" w:sz="0" w:space="0" w:color="auto"/>
        <w:right w:val="none" w:sz="0" w:space="0" w:color="auto"/>
      </w:divBdr>
    </w:div>
    <w:div w:id="1808737533">
      <w:bodyDiv w:val="1"/>
      <w:marLeft w:val="0"/>
      <w:marRight w:val="0"/>
      <w:marTop w:val="0"/>
      <w:marBottom w:val="0"/>
      <w:divBdr>
        <w:top w:val="none" w:sz="0" w:space="0" w:color="auto"/>
        <w:left w:val="none" w:sz="0" w:space="0" w:color="auto"/>
        <w:bottom w:val="none" w:sz="0" w:space="0" w:color="auto"/>
        <w:right w:val="none" w:sz="0" w:space="0" w:color="auto"/>
      </w:divBdr>
      <w:divsChild>
        <w:div w:id="674847893">
          <w:marLeft w:val="0"/>
          <w:marRight w:val="108"/>
          <w:marTop w:val="108"/>
          <w:marBottom w:val="108"/>
          <w:divBdr>
            <w:top w:val="none" w:sz="0" w:space="0" w:color="auto"/>
            <w:left w:val="none" w:sz="0" w:space="0" w:color="auto"/>
            <w:bottom w:val="none" w:sz="0" w:space="0" w:color="auto"/>
            <w:right w:val="none" w:sz="0" w:space="0" w:color="auto"/>
          </w:divBdr>
          <w:divsChild>
            <w:div w:id="1647857364">
              <w:marLeft w:val="0"/>
              <w:marRight w:val="0"/>
              <w:marTop w:val="0"/>
              <w:marBottom w:val="0"/>
              <w:divBdr>
                <w:top w:val="none" w:sz="0" w:space="0" w:color="auto"/>
                <w:left w:val="none" w:sz="0" w:space="0" w:color="auto"/>
                <w:bottom w:val="none" w:sz="0" w:space="0" w:color="auto"/>
                <w:right w:val="none" w:sz="0" w:space="0" w:color="auto"/>
              </w:divBdr>
              <w:divsChild>
                <w:div w:id="140511785">
                  <w:marLeft w:val="0"/>
                  <w:marRight w:val="0"/>
                  <w:marTop w:val="0"/>
                  <w:marBottom w:val="0"/>
                  <w:divBdr>
                    <w:top w:val="none" w:sz="0" w:space="0" w:color="auto"/>
                    <w:left w:val="none" w:sz="0" w:space="0" w:color="auto"/>
                    <w:bottom w:val="none" w:sz="0" w:space="0" w:color="auto"/>
                    <w:right w:val="none" w:sz="0" w:space="0" w:color="auto"/>
                  </w:divBdr>
                  <w:divsChild>
                    <w:div w:id="2115130531">
                      <w:marLeft w:val="0"/>
                      <w:marRight w:val="0"/>
                      <w:marTop w:val="0"/>
                      <w:marBottom w:val="0"/>
                      <w:divBdr>
                        <w:top w:val="none" w:sz="0" w:space="0" w:color="auto"/>
                        <w:left w:val="none" w:sz="0" w:space="0" w:color="auto"/>
                        <w:bottom w:val="none" w:sz="0" w:space="0" w:color="auto"/>
                        <w:right w:val="none" w:sz="0" w:space="0" w:color="auto"/>
                      </w:divBdr>
                      <w:divsChild>
                        <w:div w:id="17732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820382">
      <w:bodyDiv w:val="1"/>
      <w:marLeft w:val="0"/>
      <w:marRight w:val="0"/>
      <w:marTop w:val="0"/>
      <w:marBottom w:val="0"/>
      <w:divBdr>
        <w:top w:val="none" w:sz="0" w:space="0" w:color="auto"/>
        <w:left w:val="none" w:sz="0" w:space="0" w:color="auto"/>
        <w:bottom w:val="none" w:sz="0" w:space="0" w:color="auto"/>
        <w:right w:val="none" w:sz="0" w:space="0" w:color="auto"/>
      </w:divBdr>
    </w:div>
    <w:div w:id="1818494357">
      <w:bodyDiv w:val="1"/>
      <w:marLeft w:val="0"/>
      <w:marRight w:val="0"/>
      <w:marTop w:val="0"/>
      <w:marBottom w:val="0"/>
      <w:divBdr>
        <w:top w:val="none" w:sz="0" w:space="0" w:color="auto"/>
        <w:left w:val="none" w:sz="0" w:space="0" w:color="auto"/>
        <w:bottom w:val="none" w:sz="0" w:space="0" w:color="auto"/>
        <w:right w:val="none" w:sz="0" w:space="0" w:color="auto"/>
      </w:divBdr>
      <w:divsChild>
        <w:div w:id="1102259842">
          <w:marLeft w:val="0"/>
          <w:marRight w:val="0"/>
          <w:marTop w:val="0"/>
          <w:marBottom w:val="0"/>
          <w:divBdr>
            <w:top w:val="none" w:sz="0" w:space="0" w:color="auto"/>
            <w:left w:val="none" w:sz="0" w:space="0" w:color="auto"/>
            <w:bottom w:val="none" w:sz="0" w:space="0" w:color="auto"/>
            <w:right w:val="none" w:sz="0" w:space="0" w:color="auto"/>
          </w:divBdr>
          <w:divsChild>
            <w:div w:id="211382478">
              <w:marLeft w:val="0"/>
              <w:marRight w:val="0"/>
              <w:marTop w:val="0"/>
              <w:marBottom w:val="0"/>
              <w:divBdr>
                <w:top w:val="none" w:sz="0" w:space="0" w:color="auto"/>
                <w:left w:val="none" w:sz="0" w:space="0" w:color="auto"/>
                <w:bottom w:val="none" w:sz="0" w:space="0" w:color="auto"/>
                <w:right w:val="none" w:sz="0" w:space="0" w:color="auto"/>
              </w:divBdr>
              <w:divsChild>
                <w:div w:id="13125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18951">
      <w:bodyDiv w:val="1"/>
      <w:marLeft w:val="0"/>
      <w:marRight w:val="0"/>
      <w:marTop w:val="0"/>
      <w:marBottom w:val="0"/>
      <w:divBdr>
        <w:top w:val="none" w:sz="0" w:space="0" w:color="auto"/>
        <w:left w:val="none" w:sz="0" w:space="0" w:color="auto"/>
        <w:bottom w:val="none" w:sz="0" w:space="0" w:color="auto"/>
        <w:right w:val="none" w:sz="0" w:space="0" w:color="auto"/>
      </w:divBdr>
      <w:divsChild>
        <w:div w:id="1573655762">
          <w:marLeft w:val="0"/>
          <w:marRight w:val="0"/>
          <w:marTop w:val="0"/>
          <w:marBottom w:val="0"/>
          <w:divBdr>
            <w:top w:val="none" w:sz="0" w:space="0" w:color="auto"/>
            <w:left w:val="none" w:sz="0" w:space="0" w:color="auto"/>
            <w:bottom w:val="none" w:sz="0" w:space="0" w:color="auto"/>
            <w:right w:val="none" w:sz="0" w:space="0" w:color="auto"/>
          </w:divBdr>
        </w:div>
        <w:div w:id="1147745904">
          <w:marLeft w:val="0"/>
          <w:marRight w:val="0"/>
          <w:marTop w:val="0"/>
          <w:marBottom w:val="0"/>
          <w:divBdr>
            <w:top w:val="none" w:sz="0" w:space="0" w:color="auto"/>
            <w:left w:val="none" w:sz="0" w:space="0" w:color="auto"/>
            <w:bottom w:val="none" w:sz="0" w:space="0" w:color="auto"/>
            <w:right w:val="none" w:sz="0" w:space="0" w:color="auto"/>
          </w:divBdr>
        </w:div>
      </w:divsChild>
    </w:div>
    <w:div w:id="1847017768">
      <w:bodyDiv w:val="1"/>
      <w:marLeft w:val="0"/>
      <w:marRight w:val="0"/>
      <w:marTop w:val="0"/>
      <w:marBottom w:val="0"/>
      <w:divBdr>
        <w:top w:val="none" w:sz="0" w:space="0" w:color="auto"/>
        <w:left w:val="none" w:sz="0" w:space="0" w:color="auto"/>
        <w:bottom w:val="none" w:sz="0" w:space="0" w:color="auto"/>
        <w:right w:val="none" w:sz="0" w:space="0" w:color="auto"/>
      </w:divBdr>
      <w:divsChild>
        <w:div w:id="249198650">
          <w:marLeft w:val="0"/>
          <w:marRight w:val="0"/>
          <w:marTop w:val="0"/>
          <w:marBottom w:val="0"/>
          <w:divBdr>
            <w:top w:val="none" w:sz="0" w:space="0" w:color="auto"/>
            <w:left w:val="none" w:sz="0" w:space="0" w:color="auto"/>
            <w:bottom w:val="none" w:sz="0" w:space="0" w:color="auto"/>
            <w:right w:val="none" w:sz="0" w:space="0" w:color="auto"/>
          </w:divBdr>
          <w:divsChild>
            <w:div w:id="1253511990">
              <w:marLeft w:val="0"/>
              <w:marRight w:val="0"/>
              <w:marTop w:val="0"/>
              <w:marBottom w:val="0"/>
              <w:divBdr>
                <w:top w:val="none" w:sz="0" w:space="0" w:color="auto"/>
                <w:left w:val="none" w:sz="0" w:space="0" w:color="auto"/>
                <w:bottom w:val="none" w:sz="0" w:space="0" w:color="auto"/>
                <w:right w:val="none" w:sz="0" w:space="0" w:color="auto"/>
              </w:divBdr>
              <w:divsChild>
                <w:div w:id="16210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2793">
      <w:bodyDiv w:val="1"/>
      <w:marLeft w:val="0"/>
      <w:marRight w:val="0"/>
      <w:marTop w:val="0"/>
      <w:marBottom w:val="0"/>
      <w:divBdr>
        <w:top w:val="none" w:sz="0" w:space="0" w:color="auto"/>
        <w:left w:val="none" w:sz="0" w:space="0" w:color="auto"/>
        <w:bottom w:val="none" w:sz="0" w:space="0" w:color="auto"/>
        <w:right w:val="none" w:sz="0" w:space="0" w:color="auto"/>
      </w:divBdr>
    </w:div>
    <w:div w:id="1864782249">
      <w:bodyDiv w:val="1"/>
      <w:marLeft w:val="0"/>
      <w:marRight w:val="0"/>
      <w:marTop w:val="0"/>
      <w:marBottom w:val="0"/>
      <w:divBdr>
        <w:top w:val="none" w:sz="0" w:space="0" w:color="auto"/>
        <w:left w:val="none" w:sz="0" w:space="0" w:color="auto"/>
        <w:bottom w:val="none" w:sz="0" w:space="0" w:color="auto"/>
        <w:right w:val="none" w:sz="0" w:space="0" w:color="auto"/>
      </w:divBdr>
    </w:div>
    <w:div w:id="1871918761">
      <w:bodyDiv w:val="1"/>
      <w:marLeft w:val="0"/>
      <w:marRight w:val="0"/>
      <w:marTop w:val="0"/>
      <w:marBottom w:val="0"/>
      <w:divBdr>
        <w:top w:val="none" w:sz="0" w:space="0" w:color="auto"/>
        <w:left w:val="none" w:sz="0" w:space="0" w:color="auto"/>
        <w:bottom w:val="none" w:sz="0" w:space="0" w:color="auto"/>
        <w:right w:val="none" w:sz="0" w:space="0" w:color="auto"/>
      </w:divBdr>
    </w:div>
    <w:div w:id="1891569482">
      <w:bodyDiv w:val="1"/>
      <w:marLeft w:val="0"/>
      <w:marRight w:val="0"/>
      <w:marTop w:val="0"/>
      <w:marBottom w:val="0"/>
      <w:divBdr>
        <w:top w:val="none" w:sz="0" w:space="0" w:color="auto"/>
        <w:left w:val="none" w:sz="0" w:space="0" w:color="auto"/>
        <w:bottom w:val="none" w:sz="0" w:space="0" w:color="auto"/>
        <w:right w:val="none" w:sz="0" w:space="0" w:color="auto"/>
      </w:divBdr>
    </w:div>
    <w:div w:id="1898516413">
      <w:bodyDiv w:val="1"/>
      <w:marLeft w:val="0"/>
      <w:marRight w:val="0"/>
      <w:marTop w:val="0"/>
      <w:marBottom w:val="0"/>
      <w:divBdr>
        <w:top w:val="none" w:sz="0" w:space="0" w:color="auto"/>
        <w:left w:val="none" w:sz="0" w:space="0" w:color="auto"/>
        <w:bottom w:val="none" w:sz="0" w:space="0" w:color="auto"/>
        <w:right w:val="none" w:sz="0" w:space="0" w:color="auto"/>
      </w:divBdr>
      <w:divsChild>
        <w:div w:id="1201472191">
          <w:marLeft w:val="0"/>
          <w:marRight w:val="108"/>
          <w:marTop w:val="18"/>
          <w:marBottom w:val="108"/>
          <w:divBdr>
            <w:top w:val="none" w:sz="0" w:space="0" w:color="auto"/>
            <w:left w:val="none" w:sz="0" w:space="0" w:color="auto"/>
            <w:bottom w:val="none" w:sz="0" w:space="0" w:color="auto"/>
            <w:right w:val="none" w:sz="0" w:space="0" w:color="auto"/>
          </w:divBdr>
          <w:divsChild>
            <w:div w:id="124586550">
              <w:marLeft w:val="0"/>
              <w:marRight w:val="0"/>
              <w:marTop w:val="0"/>
              <w:marBottom w:val="0"/>
              <w:divBdr>
                <w:top w:val="none" w:sz="0" w:space="0" w:color="auto"/>
                <w:left w:val="none" w:sz="0" w:space="0" w:color="auto"/>
                <w:bottom w:val="none" w:sz="0" w:space="0" w:color="auto"/>
                <w:right w:val="none" w:sz="0" w:space="0" w:color="auto"/>
              </w:divBdr>
              <w:divsChild>
                <w:div w:id="909585621">
                  <w:marLeft w:val="0"/>
                  <w:marRight w:val="0"/>
                  <w:marTop w:val="0"/>
                  <w:marBottom w:val="0"/>
                  <w:divBdr>
                    <w:top w:val="none" w:sz="0" w:space="0" w:color="auto"/>
                    <w:left w:val="none" w:sz="0" w:space="0" w:color="auto"/>
                    <w:bottom w:val="none" w:sz="0" w:space="0" w:color="auto"/>
                    <w:right w:val="none" w:sz="0" w:space="0" w:color="auto"/>
                  </w:divBdr>
                  <w:divsChild>
                    <w:div w:id="1936478918">
                      <w:marLeft w:val="0"/>
                      <w:marRight w:val="0"/>
                      <w:marTop w:val="0"/>
                      <w:marBottom w:val="0"/>
                      <w:divBdr>
                        <w:top w:val="none" w:sz="0" w:space="0" w:color="auto"/>
                        <w:left w:val="none" w:sz="0" w:space="0" w:color="auto"/>
                        <w:bottom w:val="none" w:sz="0" w:space="0" w:color="auto"/>
                        <w:right w:val="none" w:sz="0" w:space="0" w:color="auto"/>
                      </w:divBdr>
                      <w:divsChild>
                        <w:div w:id="13730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06127">
      <w:bodyDiv w:val="1"/>
      <w:marLeft w:val="0"/>
      <w:marRight w:val="0"/>
      <w:marTop w:val="0"/>
      <w:marBottom w:val="0"/>
      <w:divBdr>
        <w:top w:val="none" w:sz="0" w:space="0" w:color="auto"/>
        <w:left w:val="none" w:sz="0" w:space="0" w:color="auto"/>
        <w:bottom w:val="none" w:sz="0" w:space="0" w:color="auto"/>
        <w:right w:val="none" w:sz="0" w:space="0" w:color="auto"/>
      </w:divBdr>
      <w:divsChild>
        <w:div w:id="1985817666">
          <w:marLeft w:val="0"/>
          <w:marRight w:val="0"/>
          <w:marTop w:val="0"/>
          <w:marBottom w:val="0"/>
          <w:divBdr>
            <w:top w:val="none" w:sz="0" w:space="0" w:color="auto"/>
            <w:left w:val="none" w:sz="0" w:space="0" w:color="auto"/>
            <w:bottom w:val="none" w:sz="0" w:space="0" w:color="auto"/>
            <w:right w:val="none" w:sz="0" w:space="0" w:color="auto"/>
          </w:divBdr>
          <w:divsChild>
            <w:div w:id="1731150555">
              <w:marLeft w:val="0"/>
              <w:marRight w:val="0"/>
              <w:marTop w:val="0"/>
              <w:marBottom w:val="0"/>
              <w:divBdr>
                <w:top w:val="none" w:sz="0" w:space="0" w:color="auto"/>
                <w:left w:val="none" w:sz="0" w:space="0" w:color="auto"/>
                <w:bottom w:val="none" w:sz="0" w:space="0" w:color="auto"/>
                <w:right w:val="none" w:sz="0" w:space="0" w:color="auto"/>
              </w:divBdr>
              <w:divsChild>
                <w:div w:id="367024877">
                  <w:marLeft w:val="0"/>
                  <w:marRight w:val="0"/>
                  <w:marTop w:val="0"/>
                  <w:marBottom w:val="0"/>
                  <w:divBdr>
                    <w:top w:val="none" w:sz="0" w:space="0" w:color="auto"/>
                    <w:left w:val="none" w:sz="0" w:space="0" w:color="auto"/>
                    <w:bottom w:val="none" w:sz="0" w:space="0" w:color="auto"/>
                    <w:right w:val="none" w:sz="0" w:space="0" w:color="auto"/>
                  </w:divBdr>
                  <w:divsChild>
                    <w:div w:id="13474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08848">
      <w:bodyDiv w:val="1"/>
      <w:marLeft w:val="0"/>
      <w:marRight w:val="0"/>
      <w:marTop w:val="0"/>
      <w:marBottom w:val="0"/>
      <w:divBdr>
        <w:top w:val="none" w:sz="0" w:space="0" w:color="auto"/>
        <w:left w:val="none" w:sz="0" w:space="0" w:color="auto"/>
        <w:bottom w:val="none" w:sz="0" w:space="0" w:color="auto"/>
        <w:right w:val="none" w:sz="0" w:space="0" w:color="auto"/>
      </w:divBdr>
    </w:div>
    <w:div w:id="1917281554">
      <w:bodyDiv w:val="1"/>
      <w:marLeft w:val="0"/>
      <w:marRight w:val="0"/>
      <w:marTop w:val="0"/>
      <w:marBottom w:val="0"/>
      <w:divBdr>
        <w:top w:val="none" w:sz="0" w:space="0" w:color="auto"/>
        <w:left w:val="none" w:sz="0" w:space="0" w:color="auto"/>
        <w:bottom w:val="none" w:sz="0" w:space="0" w:color="auto"/>
        <w:right w:val="none" w:sz="0" w:space="0" w:color="auto"/>
      </w:divBdr>
      <w:divsChild>
        <w:div w:id="347561453">
          <w:marLeft w:val="0"/>
          <w:marRight w:val="0"/>
          <w:marTop w:val="0"/>
          <w:marBottom w:val="0"/>
          <w:divBdr>
            <w:top w:val="none" w:sz="0" w:space="0" w:color="auto"/>
            <w:left w:val="none" w:sz="0" w:space="0" w:color="auto"/>
            <w:bottom w:val="none" w:sz="0" w:space="0" w:color="auto"/>
            <w:right w:val="none" w:sz="0" w:space="0" w:color="auto"/>
          </w:divBdr>
        </w:div>
      </w:divsChild>
    </w:div>
    <w:div w:id="1922786153">
      <w:bodyDiv w:val="1"/>
      <w:marLeft w:val="0"/>
      <w:marRight w:val="0"/>
      <w:marTop w:val="0"/>
      <w:marBottom w:val="0"/>
      <w:divBdr>
        <w:top w:val="none" w:sz="0" w:space="0" w:color="auto"/>
        <w:left w:val="none" w:sz="0" w:space="0" w:color="auto"/>
        <w:bottom w:val="none" w:sz="0" w:space="0" w:color="auto"/>
        <w:right w:val="none" w:sz="0" w:space="0" w:color="auto"/>
      </w:divBdr>
      <w:divsChild>
        <w:div w:id="486020801">
          <w:marLeft w:val="126"/>
          <w:marRight w:val="126"/>
          <w:marTop w:val="0"/>
          <w:marBottom w:val="126"/>
          <w:divBdr>
            <w:top w:val="none" w:sz="0" w:space="0" w:color="auto"/>
            <w:left w:val="none" w:sz="0" w:space="0" w:color="auto"/>
            <w:bottom w:val="none" w:sz="0" w:space="0" w:color="auto"/>
            <w:right w:val="none" w:sz="0" w:space="0" w:color="auto"/>
          </w:divBdr>
          <w:divsChild>
            <w:div w:id="1613241780">
              <w:marLeft w:val="0"/>
              <w:marRight w:val="0"/>
              <w:marTop w:val="0"/>
              <w:marBottom w:val="0"/>
              <w:divBdr>
                <w:top w:val="none" w:sz="0" w:space="0" w:color="auto"/>
                <w:left w:val="none" w:sz="0" w:space="0" w:color="auto"/>
                <w:bottom w:val="none" w:sz="0" w:space="0" w:color="auto"/>
                <w:right w:val="none" w:sz="0" w:space="0" w:color="auto"/>
              </w:divBdr>
              <w:divsChild>
                <w:div w:id="1208688769">
                  <w:marLeft w:val="0"/>
                  <w:marRight w:val="0"/>
                  <w:marTop w:val="0"/>
                  <w:marBottom w:val="0"/>
                  <w:divBdr>
                    <w:top w:val="none" w:sz="0" w:space="0" w:color="auto"/>
                    <w:left w:val="none" w:sz="0" w:space="0" w:color="auto"/>
                    <w:bottom w:val="none" w:sz="0" w:space="0" w:color="auto"/>
                    <w:right w:val="none" w:sz="0" w:space="0" w:color="auto"/>
                  </w:divBdr>
                </w:div>
                <w:div w:id="1091197844">
                  <w:marLeft w:val="0"/>
                  <w:marRight w:val="108"/>
                  <w:marTop w:val="18"/>
                  <w:marBottom w:val="108"/>
                  <w:divBdr>
                    <w:top w:val="none" w:sz="0" w:space="0" w:color="auto"/>
                    <w:left w:val="none" w:sz="0" w:space="0" w:color="auto"/>
                    <w:bottom w:val="none" w:sz="0" w:space="0" w:color="auto"/>
                    <w:right w:val="none" w:sz="0" w:space="0" w:color="auto"/>
                  </w:divBdr>
                  <w:divsChild>
                    <w:div w:id="1611208427">
                      <w:marLeft w:val="0"/>
                      <w:marRight w:val="0"/>
                      <w:marTop w:val="0"/>
                      <w:marBottom w:val="0"/>
                      <w:divBdr>
                        <w:top w:val="none" w:sz="0" w:space="0" w:color="auto"/>
                        <w:left w:val="none" w:sz="0" w:space="0" w:color="auto"/>
                        <w:bottom w:val="none" w:sz="0" w:space="0" w:color="auto"/>
                        <w:right w:val="none" w:sz="0" w:space="0" w:color="auto"/>
                      </w:divBdr>
                      <w:divsChild>
                        <w:div w:id="231475967">
                          <w:marLeft w:val="0"/>
                          <w:marRight w:val="0"/>
                          <w:marTop w:val="0"/>
                          <w:marBottom w:val="0"/>
                          <w:divBdr>
                            <w:top w:val="none" w:sz="0" w:space="0" w:color="auto"/>
                            <w:left w:val="none" w:sz="0" w:space="0" w:color="auto"/>
                            <w:bottom w:val="none" w:sz="0" w:space="0" w:color="auto"/>
                            <w:right w:val="none" w:sz="0" w:space="0" w:color="auto"/>
                          </w:divBdr>
                          <w:divsChild>
                            <w:div w:id="307437201">
                              <w:marLeft w:val="0"/>
                              <w:marRight w:val="0"/>
                              <w:marTop w:val="0"/>
                              <w:marBottom w:val="0"/>
                              <w:divBdr>
                                <w:top w:val="none" w:sz="0" w:space="0" w:color="auto"/>
                                <w:left w:val="none" w:sz="0" w:space="0" w:color="auto"/>
                                <w:bottom w:val="none" w:sz="0" w:space="0" w:color="auto"/>
                                <w:right w:val="none" w:sz="0" w:space="0" w:color="auto"/>
                              </w:divBdr>
                              <w:divsChild>
                                <w:div w:id="2826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292748">
      <w:bodyDiv w:val="1"/>
      <w:marLeft w:val="0"/>
      <w:marRight w:val="0"/>
      <w:marTop w:val="0"/>
      <w:marBottom w:val="0"/>
      <w:divBdr>
        <w:top w:val="none" w:sz="0" w:space="0" w:color="auto"/>
        <w:left w:val="none" w:sz="0" w:space="0" w:color="auto"/>
        <w:bottom w:val="none" w:sz="0" w:space="0" w:color="auto"/>
        <w:right w:val="none" w:sz="0" w:space="0" w:color="auto"/>
      </w:divBdr>
    </w:div>
    <w:div w:id="1928145993">
      <w:bodyDiv w:val="1"/>
      <w:marLeft w:val="0"/>
      <w:marRight w:val="0"/>
      <w:marTop w:val="0"/>
      <w:marBottom w:val="0"/>
      <w:divBdr>
        <w:top w:val="none" w:sz="0" w:space="0" w:color="auto"/>
        <w:left w:val="none" w:sz="0" w:space="0" w:color="auto"/>
        <w:bottom w:val="none" w:sz="0" w:space="0" w:color="auto"/>
        <w:right w:val="none" w:sz="0" w:space="0" w:color="auto"/>
      </w:divBdr>
    </w:div>
    <w:div w:id="1940869812">
      <w:bodyDiv w:val="1"/>
      <w:marLeft w:val="0"/>
      <w:marRight w:val="0"/>
      <w:marTop w:val="0"/>
      <w:marBottom w:val="0"/>
      <w:divBdr>
        <w:top w:val="none" w:sz="0" w:space="0" w:color="auto"/>
        <w:left w:val="none" w:sz="0" w:space="0" w:color="auto"/>
        <w:bottom w:val="none" w:sz="0" w:space="0" w:color="auto"/>
        <w:right w:val="none" w:sz="0" w:space="0" w:color="auto"/>
      </w:divBdr>
    </w:div>
    <w:div w:id="1947690747">
      <w:bodyDiv w:val="1"/>
      <w:marLeft w:val="0"/>
      <w:marRight w:val="0"/>
      <w:marTop w:val="0"/>
      <w:marBottom w:val="0"/>
      <w:divBdr>
        <w:top w:val="none" w:sz="0" w:space="0" w:color="auto"/>
        <w:left w:val="none" w:sz="0" w:space="0" w:color="auto"/>
        <w:bottom w:val="none" w:sz="0" w:space="0" w:color="auto"/>
        <w:right w:val="none" w:sz="0" w:space="0" w:color="auto"/>
      </w:divBdr>
      <w:divsChild>
        <w:div w:id="659118189">
          <w:marLeft w:val="0"/>
          <w:marRight w:val="0"/>
          <w:marTop w:val="0"/>
          <w:marBottom w:val="0"/>
          <w:divBdr>
            <w:top w:val="none" w:sz="0" w:space="0" w:color="auto"/>
            <w:left w:val="none" w:sz="0" w:space="0" w:color="auto"/>
            <w:bottom w:val="none" w:sz="0" w:space="0" w:color="auto"/>
            <w:right w:val="none" w:sz="0" w:space="0" w:color="auto"/>
          </w:divBdr>
          <w:divsChild>
            <w:div w:id="236864694">
              <w:marLeft w:val="0"/>
              <w:marRight w:val="0"/>
              <w:marTop w:val="0"/>
              <w:marBottom w:val="0"/>
              <w:divBdr>
                <w:top w:val="none" w:sz="0" w:space="0" w:color="auto"/>
                <w:left w:val="none" w:sz="0" w:space="0" w:color="auto"/>
                <w:bottom w:val="none" w:sz="0" w:space="0" w:color="auto"/>
                <w:right w:val="none" w:sz="0" w:space="0" w:color="auto"/>
              </w:divBdr>
              <w:divsChild>
                <w:div w:id="5442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0830">
      <w:bodyDiv w:val="1"/>
      <w:marLeft w:val="0"/>
      <w:marRight w:val="0"/>
      <w:marTop w:val="0"/>
      <w:marBottom w:val="0"/>
      <w:divBdr>
        <w:top w:val="none" w:sz="0" w:space="0" w:color="auto"/>
        <w:left w:val="none" w:sz="0" w:space="0" w:color="auto"/>
        <w:bottom w:val="none" w:sz="0" w:space="0" w:color="auto"/>
        <w:right w:val="none" w:sz="0" w:space="0" w:color="auto"/>
      </w:divBdr>
      <w:divsChild>
        <w:div w:id="82995420">
          <w:marLeft w:val="0"/>
          <w:marRight w:val="108"/>
          <w:marTop w:val="18"/>
          <w:marBottom w:val="108"/>
          <w:divBdr>
            <w:top w:val="none" w:sz="0" w:space="0" w:color="auto"/>
            <w:left w:val="none" w:sz="0" w:space="0" w:color="auto"/>
            <w:bottom w:val="none" w:sz="0" w:space="0" w:color="auto"/>
            <w:right w:val="none" w:sz="0" w:space="0" w:color="auto"/>
          </w:divBdr>
          <w:divsChild>
            <w:div w:id="487937500">
              <w:marLeft w:val="0"/>
              <w:marRight w:val="0"/>
              <w:marTop w:val="0"/>
              <w:marBottom w:val="0"/>
              <w:divBdr>
                <w:top w:val="none" w:sz="0" w:space="0" w:color="auto"/>
                <w:left w:val="none" w:sz="0" w:space="0" w:color="auto"/>
                <w:bottom w:val="none" w:sz="0" w:space="0" w:color="auto"/>
                <w:right w:val="none" w:sz="0" w:space="0" w:color="auto"/>
              </w:divBdr>
              <w:divsChild>
                <w:div w:id="1563908330">
                  <w:marLeft w:val="0"/>
                  <w:marRight w:val="0"/>
                  <w:marTop w:val="0"/>
                  <w:marBottom w:val="0"/>
                  <w:divBdr>
                    <w:top w:val="none" w:sz="0" w:space="0" w:color="auto"/>
                    <w:left w:val="none" w:sz="0" w:space="0" w:color="auto"/>
                    <w:bottom w:val="none" w:sz="0" w:space="0" w:color="auto"/>
                    <w:right w:val="none" w:sz="0" w:space="0" w:color="auto"/>
                  </w:divBdr>
                  <w:divsChild>
                    <w:div w:id="1874535630">
                      <w:marLeft w:val="0"/>
                      <w:marRight w:val="0"/>
                      <w:marTop w:val="0"/>
                      <w:marBottom w:val="0"/>
                      <w:divBdr>
                        <w:top w:val="none" w:sz="0" w:space="0" w:color="auto"/>
                        <w:left w:val="none" w:sz="0" w:space="0" w:color="auto"/>
                        <w:bottom w:val="none" w:sz="0" w:space="0" w:color="auto"/>
                        <w:right w:val="none" w:sz="0" w:space="0" w:color="auto"/>
                      </w:divBdr>
                      <w:divsChild>
                        <w:div w:id="18377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188985">
      <w:bodyDiv w:val="1"/>
      <w:marLeft w:val="0"/>
      <w:marRight w:val="0"/>
      <w:marTop w:val="0"/>
      <w:marBottom w:val="0"/>
      <w:divBdr>
        <w:top w:val="none" w:sz="0" w:space="0" w:color="auto"/>
        <w:left w:val="none" w:sz="0" w:space="0" w:color="auto"/>
        <w:bottom w:val="none" w:sz="0" w:space="0" w:color="auto"/>
        <w:right w:val="none" w:sz="0" w:space="0" w:color="auto"/>
      </w:divBdr>
    </w:div>
    <w:div w:id="1967076467">
      <w:bodyDiv w:val="1"/>
      <w:marLeft w:val="0"/>
      <w:marRight w:val="0"/>
      <w:marTop w:val="0"/>
      <w:marBottom w:val="0"/>
      <w:divBdr>
        <w:top w:val="none" w:sz="0" w:space="0" w:color="auto"/>
        <w:left w:val="none" w:sz="0" w:space="0" w:color="auto"/>
        <w:bottom w:val="none" w:sz="0" w:space="0" w:color="auto"/>
        <w:right w:val="none" w:sz="0" w:space="0" w:color="auto"/>
      </w:divBdr>
      <w:divsChild>
        <w:div w:id="1468086003">
          <w:marLeft w:val="0"/>
          <w:marRight w:val="0"/>
          <w:marTop w:val="0"/>
          <w:marBottom w:val="0"/>
          <w:divBdr>
            <w:top w:val="none" w:sz="0" w:space="0" w:color="auto"/>
            <w:left w:val="none" w:sz="0" w:space="0" w:color="auto"/>
            <w:bottom w:val="none" w:sz="0" w:space="0" w:color="auto"/>
            <w:right w:val="none" w:sz="0" w:space="0" w:color="auto"/>
          </w:divBdr>
        </w:div>
        <w:div w:id="260919338">
          <w:marLeft w:val="0"/>
          <w:marRight w:val="0"/>
          <w:marTop w:val="0"/>
          <w:marBottom w:val="0"/>
          <w:divBdr>
            <w:top w:val="none" w:sz="0" w:space="0" w:color="auto"/>
            <w:left w:val="none" w:sz="0" w:space="0" w:color="auto"/>
            <w:bottom w:val="none" w:sz="0" w:space="0" w:color="auto"/>
            <w:right w:val="none" w:sz="0" w:space="0" w:color="auto"/>
          </w:divBdr>
        </w:div>
      </w:divsChild>
    </w:div>
    <w:div w:id="1967423149">
      <w:bodyDiv w:val="1"/>
      <w:marLeft w:val="0"/>
      <w:marRight w:val="0"/>
      <w:marTop w:val="0"/>
      <w:marBottom w:val="0"/>
      <w:divBdr>
        <w:top w:val="none" w:sz="0" w:space="0" w:color="auto"/>
        <w:left w:val="none" w:sz="0" w:space="0" w:color="auto"/>
        <w:bottom w:val="none" w:sz="0" w:space="0" w:color="auto"/>
        <w:right w:val="none" w:sz="0" w:space="0" w:color="auto"/>
      </w:divBdr>
      <w:divsChild>
        <w:div w:id="1311178998">
          <w:marLeft w:val="0"/>
          <w:marRight w:val="0"/>
          <w:marTop w:val="0"/>
          <w:marBottom w:val="0"/>
          <w:divBdr>
            <w:top w:val="none" w:sz="0" w:space="0" w:color="auto"/>
            <w:left w:val="none" w:sz="0" w:space="0" w:color="auto"/>
            <w:bottom w:val="none" w:sz="0" w:space="0" w:color="auto"/>
            <w:right w:val="none" w:sz="0" w:space="0" w:color="auto"/>
          </w:divBdr>
          <w:divsChild>
            <w:div w:id="1675111029">
              <w:marLeft w:val="0"/>
              <w:marRight w:val="0"/>
              <w:marTop w:val="0"/>
              <w:marBottom w:val="0"/>
              <w:divBdr>
                <w:top w:val="none" w:sz="0" w:space="0" w:color="auto"/>
                <w:left w:val="none" w:sz="0" w:space="0" w:color="auto"/>
                <w:bottom w:val="none" w:sz="0" w:space="0" w:color="auto"/>
                <w:right w:val="none" w:sz="0" w:space="0" w:color="auto"/>
              </w:divBdr>
              <w:divsChild>
                <w:div w:id="1776945202">
                  <w:marLeft w:val="0"/>
                  <w:marRight w:val="0"/>
                  <w:marTop w:val="0"/>
                  <w:marBottom w:val="0"/>
                  <w:divBdr>
                    <w:top w:val="none" w:sz="0" w:space="0" w:color="auto"/>
                    <w:left w:val="none" w:sz="0" w:space="0" w:color="auto"/>
                    <w:bottom w:val="none" w:sz="0" w:space="0" w:color="auto"/>
                    <w:right w:val="none" w:sz="0" w:space="0" w:color="auto"/>
                  </w:divBdr>
                  <w:divsChild>
                    <w:div w:id="17461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2751">
      <w:bodyDiv w:val="1"/>
      <w:marLeft w:val="0"/>
      <w:marRight w:val="0"/>
      <w:marTop w:val="0"/>
      <w:marBottom w:val="0"/>
      <w:divBdr>
        <w:top w:val="none" w:sz="0" w:space="0" w:color="auto"/>
        <w:left w:val="none" w:sz="0" w:space="0" w:color="auto"/>
        <w:bottom w:val="none" w:sz="0" w:space="0" w:color="auto"/>
        <w:right w:val="none" w:sz="0" w:space="0" w:color="auto"/>
      </w:divBdr>
    </w:div>
    <w:div w:id="1980184618">
      <w:bodyDiv w:val="1"/>
      <w:marLeft w:val="0"/>
      <w:marRight w:val="0"/>
      <w:marTop w:val="0"/>
      <w:marBottom w:val="0"/>
      <w:divBdr>
        <w:top w:val="none" w:sz="0" w:space="0" w:color="auto"/>
        <w:left w:val="none" w:sz="0" w:space="0" w:color="auto"/>
        <w:bottom w:val="none" w:sz="0" w:space="0" w:color="auto"/>
        <w:right w:val="none" w:sz="0" w:space="0" w:color="auto"/>
      </w:divBdr>
      <w:divsChild>
        <w:div w:id="1405495148">
          <w:marLeft w:val="0"/>
          <w:marRight w:val="0"/>
          <w:marTop w:val="0"/>
          <w:marBottom w:val="0"/>
          <w:divBdr>
            <w:top w:val="none" w:sz="0" w:space="0" w:color="auto"/>
            <w:left w:val="none" w:sz="0" w:space="0" w:color="auto"/>
            <w:bottom w:val="none" w:sz="0" w:space="0" w:color="auto"/>
            <w:right w:val="none" w:sz="0" w:space="0" w:color="auto"/>
          </w:divBdr>
        </w:div>
      </w:divsChild>
    </w:div>
    <w:div w:id="1991398421">
      <w:bodyDiv w:val="1"/>
      <w:marLeft w:val="0"/>
      <w:marRight w:val="0"/>
      <w:marTop w:val="0"/>
      <w:marBottom w:val="0"/>
      <w:divBdr>
        <w:top w:val="none" w:sz="0" w:space="0" w:color="auto"/>
        <w:left w:val="none" w:sz="0" w:space="0" w:color="auto"/>
        <w:bottom w:val="none" w:sz="0" w:space="0" w:color="auto"/>
        <w:right w:val="none" w:sz="0" w:space="0" w:color="auto"/>
      </w:divBdr>
      <w:divsChild>
        <w:div w:id="202988767">
          <w:marLeft w:val="0"/>
          <w:marRight w:val="0"/>
          <w:marTop w:val="0"/>
          <w:marBottom w:val="0"/>
          <w:divBdr>
            <w:top w:val="none" w:sz="0" w:space="0" w:color="auto"/>
            <w:left w:val="none" w:sz="0" w:space="0" w:color="auto"/>
            <w:bottom w:val="none" w:sz="0" w:space="0" w:color="auto"/>
            <w:right w:val="none" w:sz="0" w:space="0" w:color="auto"/>
          </w:divBdr>
        </w:div>
      </w:divsChild>
    </w:div>
    <w:div w:id="2005888225">
      <w:bodyDiv w:val="1"/>
      <w:marLeft w:val="0"/>
      <w:marRight w:val="0"/>
      <w:marTop w:val="0"/>
      <w:marBottom w:val="0"/>
      <w:divBdr>
        <w:top w:val="none" w:sz="0" w:space="0" w:color="auto"/>
        <w:left w:val="none" w:sz="0" w:space="0" w:color="auto"/>
        <w:bottom w:val="none" w:sz="0" w:space="0" w:color="auto"/>
        <w:right w:val="none" w:sz="0" w:space="0" w:color="auto"/>
      </w:divBdr>
      <w:divsChild>
        <w:div w:id="994525502">
          <w:marLeft w:val="126"/>
          <w:marRight w:val="126"/>
          <w:marTop w:val="0"/>
          <w:marBottom w:val="126"/>
          <w:divBdr>
            <w:top w:val="none" w:sz="0" w:space="0" w:color="auto"/>
            <w:left w:val="none" w:sz="0" w:space="0" w:color="auto"/>
            <w:bottom w:val="none" w:sz="0" w:space="0" w:color="auto"/>
            <w:right w:val="none" w:sz="0" w:space="0" w:color="auto"/>
          </w:divBdr>
          <w:divsChild>
            <w:div w:id="1696542311">
              <w:marLeft w:val="0"/>
              <w:marRight w:val="0"/>
              <w:marTop w:val="0"/>
              <w:marBottom w:val="0"/>
              <w:divBdr>
                <w:top w:val="none" w:sz="0" w:space="0" w:color="auto"/>
                <w:left w:val="none" w:sz="0" w:space="0" w:color="auto"/>
                <w:bottom w:val="none" w:sz="0" w:space="0" w:color="auto"/>
                <w:right w:val="none" w:sz="0" w:space="0" w:color="auto"/>
              </w:divBdr>
              <w:divsChild>
                <w:div w:id="60493680">
                  <w:marLeft w:val="0"/>
                  <w:marRight w:val="0"/>
                  <w:marTop w:val="0"/>
                  <w:marBottom w:val="0"/>
                  <w:divBdr>
                    <w:top w:val="none" w:sz="0" w:space="0" w:color="auto"/>
                    <w:left w:val="none" w:sz="0" w:space="0" w:color="auto"/>
                    <w:bottom w:val="none" w:sz="0" w:space="0" w:color="auto"/>
                    <w:right w:val="none" w:sz="0" w:space="0" w:color="auto"/>
                  </w:divBdr>
                </w:div>
                <w:div w:id="1884562856">
                  <w:marLeft w:val="0"/>
                  <w:marRight w:val="108"/>
                  <w:marTop w:val="18"/>
                  <w:marBottom w:val="108"/>
                  <w:divBdr>
                    <w:top w:val="none" w:sz="0" w:space="0" w:color="auto"/>
                    <w:left w:val="none" w:sz="0" w:space="0" w:color="auto"/>
                    <w:bottom w:val="none" w:sz="0" w:space="0" w:color="auto"/>
                    <w:right w:val="none" w:sz="0" w:space="0" w:color="auto"/>
                  </w:divBdr>
                  <w:divsChild>
                    <w:div w:id="1084834410">
                      <w:marLeft w:val="0"/>
                      <w:marRight w:val="0"/>
                      <w:marTop w:val="0"/>
                      <w:marBottom w:val="0"/>
                      <w:divBdr>
                        <w:top w:val="none" w:sz="0" w:space="0" w:color="auto"/>
                        <w:left w:val="none" w:sz="0" w:space="0" w:color="auto"/>
                        <w:bottom w:val="none" w:sz="0" w:space="0" w:color="auto"/>
                        <w:right w:val="none" w:sz="0" w:space="0" w:color="auto"/>
                      </w:divBdr>
                      <w:divsChild>
                        <w:div w:id="1624313098">
                          <w:marLeft w:val="0"/>
                          <w:marRight w:val="0"/>
                          <w:marTop w:val="0"/>
                          <w:marBottom w:val="0"/>
                          <w:divBdr>
                            <w:top w:val="none" w:sz="0" w:space="0" w:color="auto"/>
                            <w:left w:val="none" w:sz="0" w:space="0" w:color="auto"/>
                            <w:bottom w:val="none" w:sz="0" w:space="0" w:color="auto"/>
                            <w:right w:val="none" w:sz="0" w:space="0" w:color="auto"/>
                          </w:divBdr>
                          <w:divsChild>
                            <w:div w:id="2130051584">
                              <w:marLeft w:val="0"/>
                              <w:marRight w:val="0"/>
                              <w:marTop w:val="0"/>
                              <w:marBottom w:val="0"/>
                              <w:divBdr>
                                <w:top w:val="none" w:sz="0" w:space="0" w:color="auto"/>
                                <w:left w:val="none" w:sz="0" w:space="0" w:color="auto"/>
                                <w:bottom w:val="none" w:sz="0" w:space="0" w:color="auto"/>
                                <w:right w:val="none" w:sz="0" w:space="0" w:color="auto"/>
                              </w:divBdr>
                              <w:divsChild>
                                <w:div w:id="14737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210">
                  <w:marLeft w:val="0"/>
                  <w:marRight w:val="0"/>
                  <w:marTop w:val="0"/>
                  <w:marBottom w:val="0"/>
                  <w:divBdr>
                    <w:top w:val="none" w:sz="0" w:space="0" w:color="auto"/>
                    <w:left w:val="none" w:sz="0" w:space="0" w:color="auto"/>
                    <w:bottom w:val="none" w:sz="0" w:space="0" w:color="auto"/>
                    <w:right w:val="none" w:sz="0" w:space="0" w:color="auto"/>
                  </w:divBdr>
                  <w:divsChild>
                    <w:div w:id="7110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43182">
      <w:bodyDiv w:val="1"/>
      <w:marLeft w:val="0"/>
      <w:marRight w:val="0"/>
      <w:marTop w:val="0"/>
      <w:marBottom w:val="0"/>
      <w:divBdr>
        <w:top w:val="none" w:sz="0" w:space="0" w:color="auto"/>
        <w:left w:val="none" w:sz="0" w:space="0" w:color="auto"/>
        <w:bottom w:val="none" w:sz="0" w:space="0" w:color="auto"/>
        <w:right w:val="none" w:sz="0" w:space="0" w:color="auto"/>
      </w:divBdr>
    </w:div>
    <w:div w:id="2017069187">
      <w:bodyDiv w:val="1"/>
      <w:marLeft w:val="0"/>
      <w:marRight w:val="0"/>
      <w:marTop w:val="0"/>
      <w:marBottom w:val="0"/>
      <w:divBdr>
        <w:top w:val="none" w:sz="0" w:space="0" w:color="auto"/>
        <w:left w:val="none" w:sz="0" w:space="0" w:color="auto"/>
        <w:bottom w:val="none" w:sz="0" w:space="0" w:color="auto"/>
        <w:right w:val="none" w:sz="0" w:space="0" w:color="auto"/>
      </w:divBdr>
      <w:divsChild>
        <w:div w:id="862206426">
          <w:marLeft w:val="0"/>
          <w:marRight w:val="0"/>
          <w:marTop w:val="0"/>
          <w:marBottom w:val="0"/>
          <w:divBdr>
            <w:top w:val="none" w:sz="0" w:space="0" w:color="auto"/>
            <w:left w:val="none" w:sz="0" w:space="0" w:color="auto"/>
            <w:bottom w:val="none" w:sz="0" w:space="0" w:color="auto"/>
            <w:right w:val="none" w:sz="0" w:space="0" w:color="auto"/>
          </w:divBdr>
          <w:divsChild>
            <w:div w:id="185485098">
              <w:marLeft w:val="0"/>
              <w:marRight w:val="0"/>
              <w:marTop w:val="0"/>
              <w:marBottom w:val="0"/>
              <w:divBdr>
                <w:top w:val="none" w:sz="0" w:space="0" w:color="auto"/>
                <w:left w:val="none" w:sz="0" w:space="0" w:color="auto"/>
                <w:bottom w:val="none" w:sz="0" w:space="0" w:color="auto"/>
                <w:right w:val="none" w:sz="0" w:space="0" w:color="auto"/>
              </w:divBdr>
              <w:divsChild>
                <w:div w:id="310595269">
                  <w:marLeft w:val="0"/>
                  <w:marRight w:val="0"/>
                  <w:marTop w:val="0"/>
                  <w:marBottom w:val="0"/>
                  <w:divBdr>
                    <w:top w:val="none" w:sz="0" w:space="0" w:color="auto"/>
                    <w:left w:val="none" w:sz="0" w:space="0" w:color="auto"/>
                    <w:bottom w:val="none" w:sz="0" w:space="0" w:color="auto"/>
                    <w:right w:val="none" w:sz="0" w:space="0" w:color="auto"/>
                  </w:divBdr>
                  <w:divsChild>
                    <w:div w:id="1394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95765">
      <w:bodyDiv w:val="1"/>
      <w:marLeft w:val="0"/>
      <w:marRight w:val="0"/>
      <w:marTop w:val="0"/>
      <w:marBottom w:val="0"/>
      <w:divBdr>
        <w:top w:val="none" w:sz="0" w:space="0" w:color="auto"/>
        <w:left w:val="none" w:sz="0" w:space="0" w:color="auto"/>
        <w:bottom w:val="none" w:sz="0" w:space="0" w:color="auto"/>
        <w:right w:val="none" w:sz="0" w:space="0" w:color="auto"/>
      </w:divBdr>
      <w:divsChild>
        <w:div w:id="961962334">
          <w:marLeft w:val="126"/>
          <w:marRight w:val="126"/>
          <w:marTop w:val="0"/>
          <w:marBottom w:val="126"/>
          <w:divBdr>
            <w:top w:val="none" w:sz="0" w:space="0" w:color="auto"/>
            <w:left w:val="none" w:sz="0" w:space="0" w:color="auto"/>
            <w:bottom w:val="none" w:sz="0" w:space="0" w:color="auto"/>
            <w:right w:val="none" w:sz="0" w:space="0" w:color="auto"/>
          </w:divBdr>
          <w:divsChild>
            <w:div w:id="1639336660">
              <w:marLeft w:val="0"/>
              <w:marRight w:val="0"/>
              <w:marTop w:val="0"/>
              <w:marBottom w:val="0"/>
              <w:divBdr>
                <w:top w:val="none" w:sz="0" w:space="0" w:color="auto"/>
                <w:left w:val="none" w:sz="0" w:space="0" w:color="auto"/>
                <w:bottom w:val="none" w:sz="0" w:space="0" w:color="auto"/>
                <w:right w:val="none" w:sz="0" w:space="0" w:color="auto"/>
              </w:divBdr>
              <w:divsChild>
                <w:div w:id="1630431087">
                  <w:marLeft w:val="0"/>
                  <w:marRight w:val="0"/>
                  <w:marTop w:val="0"/>
                  <w:marBottom w:val="0"/>
                  <w:divBdr>
                    <w:top w:val="none" w:sz="0" w:space="0" w:color="auto"/>
                    <w:left w:val="none" w:sz="0" w:space="0" w:color="auto"/>
                    <w:bottom w:val="none" w:sz="0" w:space="0" w:color="auto"/>
                    <w:right w:val="none" w:sz="0" w:space="0" w:color="auto"/>
                  </w:divBdr>
                </w:div>
                <w:div w:id="846555049">
                  <w:marLeft w:val="0"/>
                  <w:marRight w:val="108"/>
                  <w:marTop w:val="18"/>
                  <w:marBottom w:val="108"/>
                  <w:divBdr>
                    <w:top w:val="none" w:sz="0" w:space="0" w:color="auto"/>
                    <w:left w:val="none" w:sz="0" w:space="0" w:color="auto"/>
                    <w:bottom w:val="none" w:sz="0" w:space="0" w:color="auto"/>
                    <w:right w:val="none" w:sz="0" w:space="0" w:color="auto"/>
                  </w:divBdr>
                  <w:divsChild>
                    <w:div w:id="1435511916">
                      <w:marLeft w:val="0"/>
                      <w:marRight w:val="0"/>
                      <w:marTop w:val="0"/>
                      <w:marBottom w:val="0"/>
                      <w:divBdr>
                        <w:top w:val="none" w:sz="0" w:space="0" w:color="auto"/>
                        <w:left w:val="none" w:sz="0" w:space="0" w:color="auto"/>
                        <w:bottom w:val="none" w:sz="0" w:space="0" w:color="auto"/>
                        <w:right w:val="none" w:sz="0" w:space="0" w:color="auto"/>
                      </w:divBdr>
                      <w:divsChild>
                        <w:div w:id="325865366">
                          <w:marLeft w:val="0"/>
                          <w:marRight w:val="0"/>
                          <w:marTop w:val="0"/>
                          <w:marBottom w:val="0"/>
                          <w:divBdr>
                            <w:top w:val="none" w:sz="0" w:space="0" w:color="auto"/>
                            <w:left w:val="none" w:sz="0" w:space="0" w:color="auto"/>
                            <w:bottom w:val="none" w:sz="0" w:space="0" w:color="auto"/>
                            <w:right w:val="none" w:sz="0" w:space="0" w:color="auto"/>
                          </w:divBdr>
                          <w:divsChild>
                            <w:div w:id="622199148">
                              <w:marLeft w:val="0"/>
                              <w:marRight w:val="0"/>
                              <w:marTop w:val="0"/>
                              <w:marBottom w:val="0"/>
                              <w:divBdr>
                                <w:top w:val="none" w:sz="0" w:space="0" w:color="auto"/>
                                <w:left w:val="none" w:sz="0" w:space="0" w:color="auto"/>
                                <w:bottom w:val="none" w:sz="0" w:space="0" w:color="auto"/>
                                <w:right w:val="none" w:sz="0" w:space="0" w:color="auto"/>
                              </w:divBdr>
                              <w:divsChild>
                                <w:div w:id="9381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696190">
      <w:bodyDiv w:val="1"/>
      <w:marLeft w:val="0"/>
      <w:marRight w:val="0"/>
      <w:marTop w:val="0"/>
      <w:marBottom w:val="0"/>
      <w:divBdr>
        <w:top w:val="none" w:sz="0" w:space="0" w:color="auto"/>
        <w:left w:val="none" w:sz="0" w:space="0" w:color="auto"/>
        <w:bottom w:val="none" w:sz="0" w:space="0" w:color="auto"/>
        <w:right w:val="none" w:sz="0" w:space="0" w:color="auto"/>
      </w:divBdr>
      <w:divsChild>
        <w:div w:id="870655682">
          <w:marLeft w:val="0"/>
          <w:marRight w:val="0"/>
          <w:marTop w:val="0"/>
          <w:marBottom w:val="0"/>
          <w:divBdr>
            <w:top w:val="none" w:sz="0" w:space="0" w:color="auto"/>
            <w:left w:val="none" w:sz="0" w:space="0" w:color="auto"/>
            <w:bottom w:val="none" w:sz="0" w:space="0" w:color="auto"/>
            <w:right w:val="none" w:sz="0" w:space="0" w:color="auto"/>
          </w:divBdr>
          <w:divsChild>
            <w:div w:id="2027056817">
              <w:marLeft w:val="0"/>
              <w:marRight w:val="0"/>
              <w:marTop w:val="0"/>
              <w:marBottom w:val="0"/>
              <w:divBdr>
                <w:top w:val="none" w:sz="0" w:space="0" w:color="auto"/>
                <w:left w:val="none" w:sz="0" w:space="0" w:color="auto"/>
                <w:bottom w:val="none" w:sz="0" w:space="0" w:color="auto"/>
                <w:right w:val="none" w:sz="0" w:space="0" w:color="auto"/>
              </w:divBdr>
              <w:divsChild>
                <w:div w:id="223610149">
                  <w:marLeft w:val="0"/>
                  <w:marRight w:val="0"/>
                  <w:marTop w:val="0"/>
                  <w:marBottom w:val="0"/>
                  <w:divBdr>
                    <w:top w:val="none" w:sz="0" w:space="0" w:color="auto"/>
                    <w:left w:val="none" w:sz="0" w:space="0" w:color="auto"/>
                    <w:bottom w:val="none" w:sz="0" w:space="0" w:color="auto"/>
                    <w:right w:val="none" w:sz="0" w:space="0" w:color="auto"/>
                  </w:divBdr>
                  <w:divsChild>
                    <w:div w:id="18596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05482">
      <w:bodyDiv w:val="1"/>
      <w:marLeft w:val="0"/>
      <w:marRight w:val="0"/>
      <w:marTop w:val="0"/>
      <w:marBottom w:val="0"/>
      <w:divBdr>
        <w:top w:val="none" w:sz="0" w:space="0" w:color="auto"/>
        <w:left w:val="none" w:sz="0" w:space="0" w:color="auto"/>
        <w:bottom w:val="none" w:sz="0" w:space="0" w:color="auto"/>
        <w:right w:val="none" w:sz="0" w:space="0" w:color="auto"/>
      </w:divBdr>
      <w:divsChild>
        <w:div w:id="1607347383">
          <w:marLeft w:val="0"/>
          <w:marRight w:val="0"/>
          <w:marTop w:val="0"/>
          <w:marBottom w:val="0"/>
          <w:divBdr>
            <w:top w:val="none" w:sz="0" w:space="0" w:color="auto"/>
            <w:left w:val="none" w:sz="0" w:space="0" w:color="auto"/>
            <w:bottom w:val="none" w:sz="0" w:space="0" w:color="auto"/>
            <w:right w:val="none" w:sz="0" w:space="0" w:color="auto"/>
          </w:divBdr>
        </w:div>
      </w:divsChild>
    </w:div>
    <w:div w:id="2062827347">
      <w:bodyDiv w:val="1"/>
      <w:marLeft w:val="0"/>
      <w:marRight w:val="0"/>
      <w:marTop w:val="0"/>
      <w:marBottom w:val="0"/>
      <w:divBdr>
        <w:top w:val="none" w:sz="0" w:space="0" w:color="auto"/>
        <w:left w:val="none" w:sz="0" w:space="0" w:color="auto"/>
        <w:bottom w:val="none" w:sz="0" w:space="0" w:color="auto"/>
        <w:right w:val="none" w:sz="0" w:space="0" w:color="auto"/>
      </w:divBdr>
      <w:divsChild>
        <w:div w:id="939028558">
          <w:marLeft w:val="0"/>
          <w:marRight w:val="0"/>
          <w:marTop w:val="0"/>
          <w:marBottom w:val="0"/>
          <w:divBdr>
            <w:top w:val="none" w:sz="0" w:space="0" w:color="auto"/>
            <w:left w:val="none" w:sz="0" w:space="0" w:color="auto"/>
            <w:bottom w:val="none" w:sz="0" w:space="0" w:color="auto"/>
            <w:right w:val="none" w:sz="0" w:space="0" w:color="auto"/>
          </w:divBdr>
        </w:div>
      </w:divsChild>
    </w:div>
    <w:div w:id="2066096744">
      <w:bodyDiv w:val="1"/>
      <w:marLeft w:val="0"/>
      <w:marRight w:val="0"/>
      <w:marTop w:val="0"/>
      <w:marBottom w:val="0"/>
      <w:divBdr>
        <w:top w:val="none" w:sz="0" w:space="0" w:color="auto"/>
        <w:left w:val="none" w:sz="0" w:space="0" w:color="auto"/>
        <w:bottom w:val="none" w:sz="0" w:space="0" w:color="auto"/>
        <w:right w:val="none" w:sz="0" w:space="0" w:color="auto"/>
      </w:divBdr>
      <w:divsChild>
        <w:div w:id="765537576">
          <w:marLeft w:val="0"/>
          <w:marRight w:val="0"/>
          <w:marTop w:val="0"/>
          <w:marBottom w:val="0"/>
          <w:divBdr>
            <w:top w:val="none" w:sz="0" w:space="0" w:color="auto"/>
            <w:left w:val="none" w:sz="0" w:space="0" w:color="auto"/>
            <w:bottom w:val="none" w:sz="0" w:space="0" w:color="auto"/>
            <w:right w:val="none" w:sz="0" w:space="0" w:color="auto"/>
          </w:divBdr>
          <w:divsChild>
            <w:div w:id="345208565">
              <w:marLeft w:val="0"/>
              <w:marRight w:val="0"/>
              <w:marTop w:val="0"/>
              <w:marBottom w:val="0"/>
              <w:divBdr>
                <w:top w:val="none" w:sz="0" w:space="0" w:color="auto"/>
                <w:left w:val="none" w:sz="0" w:space="0" w:color="auto"/>
                <w:bottom w:val="none" w:sz="0" w:space="0" w:color="auto"/>
                <w:right w:val="none" w:sz="0" w:space="0" w:color="auto"/>
              </w:divBdr>
              <w:divsChild>
                <w:div w:id="1250238030">
                  <w:marLeft w:val="0"/>
                  <w:marRight w:val="0"/>
                  <w:marTop w:val="0"/>
                  <w:marBottom w:val="0"/>
                  <w:divBdr>
                    <w:top w:val="none" w:sz="0" w:space="0" w:color="auto"/>
                    <w:left w:val="none" w:sz="0" w:space="0" w:color="auto"/>
                    <w:bottom w:val="none" w:sz="0" w:space="0" w:color="auto"/>
                    <w:right w:val="none" w:sz="0" w:space="0" w:color="auto"/>
                  </w:divBdr>
                  <w:divsChild>
                    <w:div w:id="1019240084">
                      <w:marLeft w:val="0"/>
                      <w:marRight w:val="0"/>
                      <w:marTop w:val="0"/>
                      <w:marBottom w:val="0"/>
                      <w:divBdr>
                        <w:top w:val="none" w:sz="0" w:space="0" w:color="auto"/>
                        <w:left w:val="none" w:sz="0" w:space="0" w:color="auto"/>
                        <w:bottom w:val="none" w:sz="0" w:space="0" w:color="auto"/>
                        <w:right w:val="none" w:sz="0" w:space="0" w:color="auto"/>
                      </w:divBdr>
                    </w:div>
                    <w:div w:id="18596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650648">
      <w:bodyDiv w:val="1"/>
      <w:marLeft w:val="0"/>
      <w:marRight w:val="0"/>
      <w:marTop w:val="0"/>
      <w:marBottom w:val="0"/>
      <w:divBdr>
        <w:top w:val="none" w:sz="0" w:space="0" w:color="auto"/>
        <w:left w:val="none" w:sz="0" w:space="0" w:color="auto"/>
        <w:bottom w:val="none" w:sz="0" w:space="0" w:color="auto"/>
        <w:right w:val="none" w:sz="0" w:space="0" w:color="auto"/>
      </w:divBdr>
      <w:divsChild>
        <w:div w:id="59792624">
          <w:marLeft w:val="0"/>
          <w:marRight w:val="108"/>
          <w:marTop w:val="108"/>
          <w:marBottom w:val="108"/>
          <w:divBdr>
            <w:top w:val="none" w:sz="0" w:space="0" w:color="auto"/>
            <w:left w:val="none" w:sz="0" w:space="0" w:color="auto"/>
            <w:bottom w:val="none" w:sz="0" w:space="0" w:color="auto"/>
            <w:right w:val="none" w:sz="0" w:space="0" w:color="auto"/>
          </w:divBdr>
          <w:divsChild>
            <w:div w:id="1688018599">
              <w:marLeft w:val="0"/>
              <w:marRight w:val="0"/>
              <w:marTop w:val="0"/>
              <w:marBottom w:val="0"/>
              <w:divBdr>
                <w:top w:val="none" w:sz="0" w:space="0" w:color="auto"/>
                <w:left w:val="none" w:sz="0" w:space="0" w:color="auto"/>
                <w:bottom w:val="none" w:sz="0" w:space="0" w:color="auto"/>
                <w:right w:val="none" w:sz="0" w:space="0" w:color="auto"/>
              </w:divBdr>
              <w:divsChild>
                <w:div w:id="923879395">
                  <w:marLeft w:val="0"/>
                  <w:marRight w:val="0"/>
                  <w:marTop w:val="0"/>
                  <w:marBottom w:val="0"/>
                  <w:divBdr>
                    <w:top w:val="none" w:sz="0" w:space="0" w:color="auto"/>
                    <w:left w:val="none" w:sz="0" w:space="0" w:color="auto"/>
                    <w:bottom w:val="none" w:sz="0" w:space="0" w:color="auto"/>
                    <w:right w:val="none" w:sz="0" w:space="0" w:color="auto"/>
                  </w:divBdr>
                  <w:divsChild>
                    <w:div w:id="1351907890">
                      <w:marLeft w:val="0"/>
                      <w:marRight w:val="0"/>
                      <w:marTop w:val="0"/>
                      <w:marBottom w:val="0"/>
                      <w:divBdr>
                        <w:top w:val="none" w:sz="0" w:space="0" w:color="auto"/>
                        <w:left w:val="none" w:sz="0" w:space="0" w:color="auto"/>
                        <w:bottom w:val="none" w:sz="0" w:space="0" w:color="auto"/>
                        <w:right w:val="none" w:sz="0" w:space="0" w:color="auto"/>
                      </w:divBdr>
                      <w:divsChild>
                        <w:div w:id="8241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783559">
      <w:bodyDiv w:val="1"/>
      <w:marLeft w:val="0"/>
      <w:marRight w:val="0"/>
      <w:marTop w:val="0"/>
      <w:marBottom w:val="0"/>
      <w:divBdr>
        <w:top w:val="none" w:sz="0" w:space="0" w:color="auto"/>
        <w:left w:val="none" w:sz="0" w:space="0" w:color="auto"/>
        <w:bottom w:val="none" w:sz="0" w:space="0" w:color="auto"/>
        <w:right w:val="none" w:sz="0" w:space="0" w:color="auto"/>
      </w:divBdr>
      <w:divsChild>
        <w:div w:id="1860046671">
          <w:marLeft w:val="0"/>
          <w:marRight w:val="0"/>
          <w:marTop w:val="0"/>
          <w:marBottom w:val="0"/>
          <w:divBdr>
            <w:top w:val="none" w:sz="0" w:space="0" w:color="auto"/>
            <w:left w:val="none" w:sz="0" w:space="0" w:color="auto"/>
            <w:bottom w:val="none" w:sz="0" w:space="0" w:color="auto"/>
            <w:right w:val="none" w:sz="0" w:space="0" w:color="auto"/>
          </w:divBdr>
        </w:div>
        <w:div w:id="1277062962">
          <w:marLeft w:val="0"/>
          <w:marRight w:val="0"/>
          <w:marTop w:val="0"/>
          <w:marBottom w:val="0"/>
          <w:divBdr>
            <w:top w:val="none" w:sz="0" w:space="0" w:color="auto"/>
            <w:left w:val="none" w:sz="0" w:space="0" w:color="auto"/>
            <w:bottom w:val="none" w:sz="0" w:space="0" w:color="auto"/>
            <w:right w:val="none" w:sz="0" w:space="0" w:color="auto"/>
          </w:divBdr>
        </w:div>
      </w:divsChild>
    </w:div>
    <w:div w:id="2100759973">
      <w:bodyDiv w:val="1"/>
      <w:marLeft w:val="0"/>
      <w:marRight w:val="0"/>
      <w:marTop w:val="0"/>
      <w:marBottom w:val="0"/>
      <w:divBdr>
        <w:top w:val="none" w:sz="0" w:space="0" w:color="auto"/>
        <w:left w:val="none" w:sz="0" w:space="0" w:color="auto"/>
        <w:bottom w:val="none" w:sz="0" w:space="0" w:color="auto"/>
        <w:right w:val="none" w:sz="0" w:space="0" w:color="auto"/>
      </w:divBdr>
    </w:div>
    <w:div w:id="2101902445">
      <w:bodyDiv w:val="1"/>
      <w:marLeft w:val="0"/>
      <w:marRight w:val="0"/>
      <w:marTop w:val="0"/>
      <w:marBottom w:val="0"/>
      <w:divBdr>
        <w:top w:val="none" w:sz="0" w:space="0" w:color="auto"/>
        <w:left w:val="none" w:sz="0" w:space="0" w:color="auto"/>
        <w:bottom w:val="none" w:sz="0" w:space="0" w:color="auto"/>
        <w:right w:val="none" w:sz="0" w:space="0" w:color="auto"/>
      </w:divBdr>
    </w:div>
    <w:div w:id="2104296472">
      <w:bodyDiv w:val="1"/>
      <w:marLeft w:val="0"/>
      <w:marRight w:val="0"/>
      <w:marTop w:val="0"/>
      <w:marBottom w:val="0"/>
      <w:divBdr>
        <w:top w:val="none" w:sz="0" w:space="0" w:color="auto"/>
        <w:left w:val="none" w:sz="0" w:space="0" w:color="auto"/>
        <w:bottom w:val="none" w:sz="0" w:space="0" w:color="auto"/>
        <w:right w:val="none" w:sz="0" w:space="0" w:color="auto"/>
      </w:divBdr>
    </w:div>
    <w:div w:id="2109888807">
      <w:bodyDiv w:val="1"/>
      <w:marLeft w:val="0"/>
      <w:marRight w:val="0"/>
      <w:marTop w:val="0"/>
      <w:marBottom w:val="0"/>
      <w:divBdr>
        <w:top w:val="none" w:sz="0" w:space="0" w:color="auto"/>
        <w:left w:val="none" w:sz="0" w:space="0" w:color="auto"/>
        <w:bottom w:val="none" w:sz="0" w:space="0" w:color="auto"/>
        <w:right w:val="none" w:sz="0" w:space="0" w:color="auto"/>
      </w:divBdr>
      <w:divsChild>
        <w:div w:id="1963997638">
          <w:marLeft w:val="0"/>
          <w:marRight w:val="108"/>
          <w:marTop w:val="18"/>
          <w:marBottom w:val="108"/>
          <w:divBdr>
            <w:top w:val="none" w:sz="0" w:space="0" w:color="auto"/>
            <w:left w:val="none" w:sz="0" w:space="0" w:color="auto"/>
            <w:bottom w:val="none" w:sz="0" w:space="0" w:color="auto"/>
            <w:right w:val="none" w:sz="0" w:space="0" w:color="auto"/>
          </w:divBdr>
          <w:divsChild>
            <w:div w:id="1110852779">
              <w:marLeft w:val="0"/>
              <w:marRight w:val="0"/>
              <w:marTop w:val="0"/>
              <w:marBottom w:val="0"/>
              <w:divBdr>
                <w:top w:val="none" w:sz="0" w:space="0" w:color="auto"/>
                <w:left w:val="none" w:sz="0" w:space="0" w:color="auto"/>
                <w:bottom w:val="none" w:sz="0" w:space="0" w:color="auto"/>
                <w:right w:val="none" w:sz="0" w:space="0" w:color="auto"/>
              </w:divBdr>
              <w:divsChild>
                <w:div w:id="1851798516">
                  <w:marLeft w:val="0"/>
                  <w:marRight w:val="0"/>
                  <w:marTop w:val="0"/>
                  <w:marBottom w:val="0"/>
                  <w:divBdr>
                    <w:top w:val="none" w:sz="0" w:space="0" w:color="auto"/>
                    <w:left w:val="none" w:sz="0" w:space="0" w:color="auto"/>
                    <w:bottom w:val="none" w:sz="0" w:space="0" w:color="auto"/>
                    <w:right w:val="none" w:sz="0" w:space="0" w:color="auto"/>
                  </w:divBdr>
                  <w:divsChild>
                    <w:div w:id="908997575">
                      <w:marLeft w:val="0"/>
                      <w:marRight w:val="0"/>
                      <w:marTop w:val="0"/>
                      <w:marBottom w:val="0"/>
                      <w:divBdr>
                        <w:top w:val="none" w:sz="0" w:space="0" w:color="auto"/>
                        <w:left w:val="none" w:sz="0" w:space="0" w:color="auto"/>
                        <w:bottom w:val="none" w:sz="0" w:space="0" w:color="auto"/>
                        <w:right w:val="none" w:sz="0" w:space="0" w:color="auto"/>
                      </w:divBdr>
                      <w:divsChild>
                        <w:div w:id="2101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370150">
      <w:bodyDiv w:val="1"/>
      <w:marLeft w:val="0"/>
      <w:marRight w:val="0"/>
      <w:marTop w:val="0"/>
      <w:marBottom w:val="0"/>
      <w:divBdr>
        <w:top w:val="none" w:sz="0" w:space="0" w:color="auto"/>
        <w:left w:val="none" w:sz="0" w:space="0" w:color="auto"/>
        <w:bottom w:val="none" w:sz="0" w:space="0" w:color="auto"/>
        <w:right w:val="none" w:sz="0" w:space="0" w:color="auto"/>
      </w:divBdr>
    </w:div>
    <w:div w:id="2122138983">
      <w:bodyDiv w:val="1"/>
      <w:marLeft w:val="0"/>
      <w:marRight w:val="0"/>
      <w:marTop w:val="0"/>
      <w:marBottom w:val="0"/>
      <w:divBdr>
        <w:top w:val="none" w:sz="0" w:space="0" w:color="auto"/>
        <w:left w:val="none" w:sz="0" w:space="0" w:color="auto"/>
        <w:bottom w:val="none" w:sz="0" w:space="0" w:color="auto"/>
        <w:right w:val="none" w:sz="0" w:space="0" w:color="auto"/>
      </w:divBdr>
      <w:divsChild>
        <w:div w:id="1500778590">
          <w:marLeft w:val="0"/>
          <w:marRight w:val="0"/>
          <w:marTop w:val="0"/>
          <w:marBottom w:val="0"/>
          <w:divBdr>
            <w:top w:val="none" w:sz="0" w:space="0" w:color="auto"/>
            <w:left w:val="none" w:sz="0" w:space="0" w:color="auto"/>
            <w:bottom w:val="none" w:sz="0" w:space="0" w:color="auto"/>
            <w:right w:val="none" w:sz="0" w:space="0" w:color="auto"/>
          </w:divBdr>
        </w:div>
      </w:divsChild>
    </w:div>
    <w:div w:id="2134788115">
      <w:bodyDiv w:val="1"/>
      <w:marLeft w:val="0"/>
      <w:marRight w:val="0"/>
      <w:marTop w:val="0"/>
      <w:marBottom w:val="0"/>
      <w:divBdr>
        <w:top w:val="none" w:sz="0" w:space="0" w:color="auto"/>
        <w:left w:val="none" w:sz="0" w:space="0" w:color="auto"/>
        <w:bottom w:val="none" w:sz="0" w:space="0" w:color="auto"/>
        <w:right w:val="none" w:sz="0" w:space="0" w:color="auto"/>
      </w:divBdr>
      <w:divsChild>
        <w:div w:id="14429307">
          <w:marLeft w:val="0"/>
          <w:marRight w:val="108"/>
          <w:marTop w:val="18"/>
          <w:marBottom w:val="108"/>
          <w:divBdr>
            <w:top w:val="none" w:sz="0" w:space="0" w:color="auto"/>
            <w:left w:val="none" w:sz="0" w:space="0" w:color="auto"/>
            <w:bottom w:val="none" w:sz="0" w:space="0" w:color="auto"/>
            <w:right w:val="none" w:sz="0" w:space="0" w:color="auto"/>
          </w:divBdr>
          <w:divsChild>
            <w:div w:id="931937501">
              <w:marLeft w:val="0"/>
              <w:marRight w:val="0"/>
              <w:marTop w:val="0"/>
              <w:marBottom w:val="0"/>
              <w:divBdr>
                <w:top w:val="none" w:sz="0" w:space="0" w:color="auto"/>
                <w:left w:val="none" w:sz="0" w:space="0" w:color="auto"/>
                <w:bottom w:val="none" w:sz="0" w:space="0" w:color="auto"/>
                <w:right w:val="none" w:sz="0" w:space="0" w:color="auto"/>
              </w:divBdr>
              <w:divsChild>
                <w:div w:id="1280575657">
                  <w:marLeft w:val="0"/>
                  <w:marRight w:val="0"/>
                  <w:marTop w:val="0"/>
                  <w:marBottom w:val="0"/>
                  <w:divBdr>
                    <w:top w:val="none" w:sz="0" w:space="0" w:color="auto"/>
                    <w:left w:val="none" w:sz="0" w:space="0" w:color="auto"/>
                    <w:bottom w:val="none" w:sz="0" w:space="0" w:color="auto"/>
                    <w:right w:val="none" w:sz="0" w:space="0" w:color="auto"/>
                  </w:divBdr>
                  <w:divsChild>
                    <w:div w:id="4020663">
                      <w:marLeft w:val="0"/>
                      <w:marRight w:val="0"/>
                      <w:marTop w:val="0"/>
                      <w:marBottom w:val="0"/>
                      <w:divBdr>
                        <w:top w:val="none" w:sz="0" w:space="0" w:color="auto"/>
                        <w:left w:val="none" w:sz="0" w:space="0" w:color="auto"/>
                        <w:bottom w:val="none" w:sz="0" w:space="0" w:color="auto"/>
                        <w:right w:val="none" w:sz="0" w:space="0" w:color="auto"/>
                      </w:divBdr>
                      <w:divsChild>
                        <w:div w:id="12505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569070">
      <w:bodyDiv w:val="1"/>
      <w:marLeft w:val="0"/>
      <w:marRight w:val="0"/>
      <w:marTop w:val="0"/>
      <w:marBottom w:val="0"/>
      <w:divBdr>
        <w:top w:val="none" w:sz="0" w:space="0" w:color="auto"/>
        <w:left w:val="none" w:sz="0" w:space="0" w:color="auto"/>
        <w:bottom w:val="none" w:sz="0" w:space="0" w:color="auto"/>
        <w:right w:val="none" w:sz="0" w:space="0" w:color="auto"/>
      </w:divBdr>
      <w:divsChild>
        <w:div w:id="140663327">
          <w:marLeft w:val="0"/>
          <w:marRight w:val="108"/>
          <w:marTop w:val="108"/>
          <w:marBottom w:val="108"/>
          <w:divBdr>
            <w:top w:val="none" w:sz="0" w:space="0" w:color="auto"/>
            <w:left w:val="none" w:sz="0" w:space="0" w:color="auto"/>
            <w:bottom w:val="none" w:sz="0" w:space="0" w:color="auto"/>
            <w:right w:val="none" w:sz="0" w:space="0" w:color="auto"/>
          </w:divBdr>
          <w:divsChild>
            <w:div w:id="866261224">
              <w:marLeft w:val="0"/>
              <w:marRight w:val="0"/>
              <w:marTop w:val="0"/>
              <w:marBottom w:val="0"/>
              <w:divBdr>
                <w:top w:val="none" w:sz="0" w:space="0" w:color="auto"/>
                <w:left w:val="none" w:sz="0" w:space="0" w:color="auto"/>
                <w:bottom w:val="none" w:sz="0" w:space="0" w:color="auto"/>
                <w:right w:val="none" w:sz="0" w:space="0" w:color="auto"/>
              </w:divBdr>
              <w:divsChild>
                <w:div w:id="1838382864">
                  <w:marLeft w:val="0"/>
                  <w:marRight w:val="0"/>
                  <w:marTop w:val="0"/>
                  <w:marBottom w:val="0"/>
                  <w:divBdr>
                    <w:top w:val="none" w:sz="0" w:space="0" w:color="auto"/>
                    <w:left w:val="none" w:sz="0" w:space="0" w:color="auto"/>
                    <w:bottom w:val="none" w:sz="0" w:space="0" w:color="auto"/>
                    <w:right w:val="none" w:sz="0" w:space="0" w:color="auto"/>
                  </w:divBdr>
                  <w:divsChild>
                    <w:div w:id="1815485690">
                      <w:marLeft w:val="0"/>
                      <w:marRight w:val="0"/>
                      <w:marTop w:val="0"/>
                      <w:marBottom w:val="0"/>
                      <w:divBdr>
                        <w:top w:val="none" w:sz="0" w:space="0" w:color="auto"/>
                        <w:left w:val="none" w:sz="0" w:space="0" w:color="auto"/>
                        <w:bottom w:val="none" w:sz="0" w:space="0" w:color="auto"/>
                        <w:right w:val="none" w:sz="0" w:space="0" w:color="auto"/>
                      </w:divBdr>
                      <w:divsChild>
                        <w:div w:id="19416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3152">
      <w:bodyDiv w:val="1"/>
      <w:marLeft w:val="0"/>
      <w:marRight w:val="0"/>
      <w:marTop w:val="0"/>
      <w:marBottom w:val="0"/>
      <w:divBdr>
        <w:top w:val="none" w:sz="0" w:space="0" w:color="auto"/>
        <w:left w:val="none" w:sz="0" w:space="0" w:color="auto"/>
        <w:bottom w:val="none" w:sz="0" w:space="0" w:color="auto"/>
        <w:right w:val="none" w:sz="0" w:space="0" w:color="auto"/>
      </w:divBdr>
      <w:divsChild>
        <w:div w:id="196453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rolyn.Wilshire@vuw.ac.nz" TargetMode="Externa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42</Pages>
  <Words>12996</Words>
  <Characters>74082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86905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Ashcroft</dc:creator>
  <cp:keywords/>
  <dc:description/>
  <cp:lastModifiedBy>Carolyn Wilshire</cp:lastModifiedBy>
  <cp:revision>12</cp:revision>
  <cp:lastPrinted>2020-10-02T00:48:00Z</cp:lastPrinted>
  <dcterms:created xsi:type="dcterms:W3CDTF">2020-10-04T00:31:00Z</dcterms:created>
  <dcterms:modified xsi:type="dcterms:W3CDTF">2022-02-13T03:07:00Z</dcterms:modified>
</cp:coreProperties>
</file>