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208E" w14:textId="77777777" w:rsidR="0066120A" w:rsidRDefault="00C15084">
      <w:pPr>
        <w:rPr>
          <w:rFonts w:ascii="Times New Roman" w:hAnsi="Times New Roman"/>
          <w:sz w:val="32"/>
          <w:szCs w:val="24"/>
        </w:rPr>
      </w:pPr>
      <w:r>
        <w:rPr>
          <w:rFonts w:ascii="Times New Roman" w:hAnsi="Times New Roman"/>
          <w:sz w:val="32"/>
          <w:szCs w:val="24"/>
        </w:rPr>
        <w:t>Kia ora koutou,</w:t>
      </w:r>
    </w:p>
    <w:p w14:paraId="5112CDB6" w14:textId="77777777" w:rsidR="0066120A" w:rsidRDefault="00C15084">
      <w:pPr>
        <w:rPr>
          <w:rFonts w:ascii="Times New Roman" w:hAnsi="Times New Roman"/>
          <w:sz w:val="32"/>
          <w:szCs w:val="24"/>
        </w:rPr>
      </w:pPr>
      <w:r>
        <w:rPr>
          <w:rFonts w:ascii="Times New Roman" w:hAnsi="Times New Roman"/>
          <w:sz w:val="32"/>
          <w:szCs w:val="24"/>
        </w:rPr>
        <w:t>I would like to start by recognising the mana whenua of this land and your enduring rights and expression of tino rangatiratanga.</w:t>
      </w:r>
    </w:p>
    <w:p w14:paraId="596AAF22" w14:textId="77777777" w:rsidR="0066120A" w:rsidRDefault="00C15084">
      <w:pPr>
        <w:rPr>
          <w:rFonts w:ascii="Times New Roman" w:hAnsi="Times New Roman"/>
          <w:sz w:val="32"/>
          <w:szCs w:val="24"/>
        </w:rPr>
      </w:pPr>
      <w:r>
        <w:rPr>
          <w:rFonts w:ascii="Times New Roman" w:hAnsi="Times New Roman"/>
          <w:sz w:val="32"/>
          <w:szCs w:val="24"/>
        </w:rPr>
        <w:t xml:space="preserve">Before I begin, I need to warn you that my presentation contains extremely distressing </w:t>
      </w:r>
      <w:r>
        <w:rPr>
          <w:rFonts w:ascii="Times New Roman" w:hAnsi="Times New Roman"/>
          <w:sz w:val="32"/>
          <w:szCs w:val="24"/>
        </w:rPr>
        <w:t>information. I will not be offended if you need to leave at any time.</w:t>
      </w:r>
    </w:p>
    <w:p w14:paraId="6CCD9A65" w14:textId="2C8EDA34" w:rsidR="0066120A" w:rsidRDefault="00C15084">
      <w:pPr>
        <w:rPr>
          <w:rFonts w:ascii="Times New Roman" w:hAnsi="Times New Roman"/>
          <w:sz w:val="32"/>
          <w:szCs w:val="24"/>
        </w:rPr>
      </w:pPr>
      <w:r>
        <w:rPr>
          <w:rFonts w:ascii="Times New Roman" w:hAnsi="Times New Roman"/>
          <w:sz w:val="32"/>
          <w:szCs w:val="24"/>
        </w:rPr>
        <w:t xml:space="preserve">Today, I was hoping to present a digested version of my </w:t>
      </w:r>
      <w:proofErr w:type="gramStart"/>
      <w:r>
        <w:rPr>
          <w:rFonts w:ascii="Times New Roman" w:hAnsi="Times New Roman"/>
          <w:sz w:val="32"/>
          <w:szCs w:val="24"/>
        </w:rPr>
        <w:t>Master’s</w:t>
      </w:r>
      <w:proofErr w:type="gramEnd"/>
      <w:r>
        <w:rPr>
          <w:rFonts w:ascii="Times New Roman" w:hAnsi="Times New Roman"/>
          <w:sz w:val="32"/>
          <w:szCs w:val="24"/>
        </w:rPr>
        <w:t xml:space="preserve"> thesis. My thesis examines 108 coroners findings into deaths in New Zealand prisons. It was an immense burden and</w:t>
      </w:r>
      <w:r>
        <w:rPr>
          <w:rFonts w:ascii="Times New Roman" w:hAnsi="Times New Roman"/>
          <w:sz w:val="32"/>
          <w:szCs w:val="24"/>
        </w:rPr>
        <w:t xml:space="preserve"> responsibility to be granted such sensitive and important data. The fundamental lack of justice and dehumanisation that these people experienced meant that part of what I wanted to do was to ensure that </w:t>
      </w:r>
      <w:r>
        <w:rPr>
          <w:rFonts w:ascii="Times New Roman" w:hAnsi="Times New Roman"/>
          <w:color w:val="000000"/>
          <w:sz w:val="32"/>
          <w:szCs w:val="24"/>
          <w:lang w:val="en-AU"/>
        </w:rPr>
        <w:t>t</w:t>
      </w:r>
      <w:r>
        <w:rPr>
          <w:rFonts w:ascii="Times New Roman" w:hAnsi="Times New Roman"/>
          <w:sz w:val="32"/>
          <w:szCs w:val="24"/>
        </w:rPr>
        <w:t>heir stories got told and that they experienced som</w:t>
      </w:r>
      <w:r>
        <w:rPr>
          <w:rFonts w:ascii="Times New Roman" w:hAnsi="Times New Roman"/>
          <w:sz w:val="32"/>
          <w:szCs w:val="24"/>
        </w:rPr>
        <w:t>e justice.</w:t>
      </w:r>
    </w:p>
    <w:p w14:paraId="26A8F5E0" w14:textId="7F55BA54" w:rsidR="0066120A" w:rsidRDefault="00C15084">
      <w:pPr>
        <w:rPr>
          <w:rFonts w:ascii="Times New Roman" w:hAnsi="Times New Roman"/>
          <w:sz w:val="32"/>
          <w:szCs w:val="24"/>
        </w:rPr>
      </w:pPr>
      <w:r>
        <w:rPr>
          <w:rFonts w:ascii="Times New Roman" w:hAnsi="Times New Roman"/>
          <w:sz w:val="32"/>
          <w:szCs w:val="24"/>
        </w:rPr>
        <w:t>The task of writing this presentation was simply impossible because of the responsibility. I struggled to keep my thesis within the 40,000-word limit and I was very lucky to have markers that simply ignored the fact that I doubled the wo</w:t>
      </w:r>
      <w:r>
        <w:rPr>
          <w:rFonts w:ascii="Times New Roman" w:hAnsi="Times New Roman"/>
          <w:sz w:val="32"/>
          <w:szCs w:val="24"/>
        </w:rPr>
        <w:t>rd count. 20 minutes just simply isn’t enough. I’m presenting this to you acknowledging that I simply can’t say all that needs to be said about this topic. It also means I will leave numerous concepts unexplained, so please ask me for clarification if need</w:t>
      </w:r>
      <w:r>
        <w:rPr>
          <w:rFonts w:ascii="Times New Roman" w:hAnsi="Times New Roman"/>
          <w:sz w:val="32"/>
          <w:szCs w:val="24"/>
        </w:rPr>
        <w:t>ed. Things will also appear on the PowerPoint that I will not explain but will hopefully provide some context, while I’m talking.</w:t>
      </w:r>
    </w:p>
    <w:p w14:paraId="3AED5C7B" w14:textId="77777777" w:rsidR="0066120A" w:rsidRDefault="00C15084">
      <w:pPr>
        <w:rPr>
          <w:rFonts w:ascii="Times New Roman" w:hAnsi="Times New Roman"/>
          <w:sz w:val="32"/>
          <w:szCs w:val="24"/>
        </w:rPr>
      </w:pPr>
      <w:r>
        <w:rPr>
          <w:rFonts w:ascii="Times New Roman" w:hAnsi="Times New Roman"/>
          <w:sz w:val="32"/>
          <w:szCs w:val="24"/>
        </w:rPr>
        <w:t>What I’m presenting today is primarily from my fourth chapter, titled ‘Vilification, Abjection, Dehumanisation’. The concept o</w:t>
      </w:r>
      <w:r>
        <w:rPr>
          <w:rFonts w:ascii="Times New Roman" w:hAnsi="Times New Roman"/>
          <w:sz w:val="32"/>
          <w:szCs w:val="24"/>
        </w:rPr>
        <w:t>f dehumanisation is particularly important for understanding how conditions and norms of confinement prepare incarcerated people for death.</w:t>
      </w:r>
    </w:p>
    <w:p w14:paraId="3F01A6D0" w14:textId="77777777" w:rsidR="0066120A" w:rsidRDefault="00C15084">
      <w:pPr>
        <w:rPr>
          <w:rFonts w:ascii="Times New Roman" w:hAnsi="Times New Roman"/>
          <w:sz w:val="32"/>
          <w:szCs w:val="24"/>
        </w:rPr>
      </w:pPr>
      <w:r>
        <w:rPr>
          <w:rFonts w:ascii="Times New Roman" w:hAnsi="Times New Roman"/>
          <w:sz w:val="32"/>
          <w:szCs w:val="24"/>
        </w:rPr>
        <w:t>DEHUMANISATION AND ISOLATION</w:t>
      </w:r>
    </w:p>
    <w:p w14:paraId="3D694205" w14:textId="16DA269F" w:rsidR="0066120A" w:rsidRDefault="00C15084">
      <w:pPr>
        <w:rPr>
          <w:rFonts w:ascii="Times New Roman" w:hAnsi="Times New Roman"/>
          <w:sz w:val="32"/>
          <w:szCs w:val="24"/>
        </w:rPr>
      </w:pPr>
      <w:r>
        <w:rPr>
          <w:rFonts w:ascii="Times New Roman" w:hAnsi="Times New Roman"/>
          <w:sz w:val="32"/>
          <w:szCs w:val="24"/>
        </w:rPr>
        <w:t>A core dehumanising component of the disciplinary regime of New Zealand prisons</w:t>
      </w:r>
      <w:r>
        <w:rPr>
          <w:rFonts w:ascii="Times New Roman" w:hAnsi="Times New Roman"/>
          <w:sz w:val="32"/>
          <w:szCs w:val="24"/>
        </w:rPr>
        <w:t xml:space="preserve"> is cell confinement and isolation. From the cases I have that are not censored by section 71 of the Coroners’ Act, at their time of death, 12.50% of self-inflicted deaths (n = 2) occurred while </w:t>
      </w:r>
      <w:r>
        <w:rPr>
          <w:rFonts w:ascii="Times New Roman" w:hAnsi="Times New Roman"/>
          <w:sz w:val="32"/>
          <w:szCs w:val="24"/>
        </w:rPr>
        <w:lastRenderedPageBreak/>
        <w:t>on Directed Segregation. Directed Segregation, although pract</w:t>
      </w:r>
      <w:r>
        <w:rPr>
          <w:rFonts w:ascii="Times New Roman" w:hAnsi="Times New Roman"/>
          <w:sz w:val="32"/>
          <w:szCs w:val="24"/>
        </w:rPr>
        <w:t>iced in different ways from prison to prison, amounts to a dehumanising condition of confinement. Recent investigations by the Office of the Ombudsman find that ‘Most prisoners placed on directed segregation were not receiving their daily minimum entitleme</w:t>
      </w:r>
      <w:r>
        <w:rPr>
          <w:rFonts w:ascii="Times New Roman" w:hAnsi="Times New Roman"/>
          <w:sz w:val="32"/>
          <w:szCs w:val="24"/>
        </w:rPr>
        <w:t>nt of one hour in the open air at Rimutaka, Mt Eden and Auckland’ prisons and that the standard of Directed Segregation accommodation in Auckland Prison particularly ‘could be considered cruel and inhuman’</w:t>
      </w:r>
    </w:p>
    <w:p w14:paraId="0A168619" w14:textId="4A087036" w:rsidR="0066120A" w:rsidRDefault="00C15084">
      <w:pPr>
        <w:spacing w:after="0" w:line="240" w:lineRule="auto"/>
        <w:rPr>
          <w:rFonts w:ascii="Times New Roman" w:hAnsi="Times New Roman"/>
          <w:sz w:val="32"/>
          <w:szCs w:val="24"/>
        </w:rPr>
      </w:pPr>
      <w:proofErr w:type="spellStart"/>
      <w:r>
        <w:rPr>
          <w:rFonts w:ascii="Times New Roman" w:hAnsi="Times New Roman"/>
          <w:sz w:val="32"/>
          <w:szCs w:val="24"/>
        </w:rPr>
        <w:t>Tipene</w:t>
      </w:r>
      <w:proofErr w:type="spellEnd"/>
      <w:r>
        <w:rPr>
          <w:rFonts w:ascii="Times New Roman" w:hAnsi="Times New Roman"/>
          <w:sz w:val="32"/>
          <w:szCs w:val="24"/>
        </w:rPr>
        <w:t xml:space="preserve"> Dawson was one of the 2 uncensored </w:t>
      </w:r>
      <w:r>
        <w:rPr>
          <w:rFonts w:ascii="Times New Roman" w:hAnsi="Times New Roman"/>
          <w:sz w:val="32"/>
          <w:szCs w:val="24"/>
        </w:rPr>
        <w:t>self-inflicted deaths that occurred in Directed</w:t>
      </w:r>
    </w:p>
    <w:p w14:paraId="1D231D1D"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Segregation. Tipene’s case demonstrates that Directed Segregation can certainly amount to</w:t>
      </w:r>
    </w:p>
    <w:p w14:paraId="6720A591" w14:textId="77777777" w:rsidR="0066120A" w:rsidRDefault="00C15084">
      <w:pPr>
        <w:rPr>
          <w:rFonts w:ascii="Times New Roman" w:hAnsi="Times New Roman"/>
          <w:sz w:val="32"/>
          <w:szCs w:val="24"/>
        </w:rPr>
      </w:pPr>
      <w:r>
        <w:rPr>
          <w:rFonts w:ascii="Times New Roman" w:hAnsi="Times New Roman"/>
          <w:sz w:val="32"/>
          <w:szCs w:val="24"/>
        </w:rPr>
        <w:t xml:space="preserve">cruel and inhuman treatment. </w:t>
      </w:r>
    </w:p>
    <w:p w14:paraId="6A7CA92E" w14:textId="77777777" w:rsidR="0066120A" w:rsidRDefault="00C15084">
      <w:pPr>
        <w:rPr>
          <w:rFonts w:ascii="Times New Roman" w:hAnsi="Times New Roman"/>
          <w:sz w:val="32"/>
          <w:szCs w:val="24"/>
        </w:rPr>
      </w:pPr>
      <w:r>
        <w:rPr>
          <w:rFonts w:ascii="Times New Roman" w:hAnsi="Times New Roman"/>
          <w:sz w:val="32"/>
          <w:szCs w:val="24"/>
        </w:rPr>
        <w:t>As a condition of his confinement, Tipene was denied the ability to associate with other</w:t>
      </w:r>
      <w:r>
        <w:rPr>
          <w:rFonts w:ascii="Times New Roman" w:hAnsi="Times New Roman"/>
          <w:sz w:val="32"/>
          <w:szCs w:val="24"/>
        </w:rPr>
        <w:t xml:space="preserve"> prisoners for the first ten days in Directed Segregation. This means his only interaction with other people for ten days was with his imprisoners. </w:t>
      </w:r>
    </w:p>
    <w:p w14:paraId="4B732D11"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After thirteen days on solitary confinement, and one day before he was due to be transferred</w:t>
      </w:r>
    </w:p>
    <w:p w14:paraId="1C94B979" w14:textId="77777777" w:rsidR="0066120A" w:rsidRDefault="00C15084">
      <w:pPr>
        <w:rPr>
          <w:rFonts w:ascii="Times New Roman" w:hAnsi="Times New Roman"/>
          <w:sz w:val="32"/>
          <w:szCs w:val="24"/>
        </w:rPr>
      </w:pPr>
      <w:r>
        <w:rPr>
          <w:rFonts w:ascii="Times New Roman" w:hAnsi="Times New Roman"/>
          <w:sz w:val="32"/>
          <w:szCs w:val="24"/>
        </w:rPr>
        <w:t>to a mainstrea</w:t>
      </w:r>
      <w:r>
        <w:rPr>
          <w:rFonts w:ascii="Times New Roman" w:hAnsi="Times New Roman"/>
          <w:sz w:val="32"/>
          <w:szCs w:val="24"/>
        </w:rPr>
        <w:t>m unit, Tipene took his own life.</w:t>
      </w:r>
    </w:p>
    <w:p w14:paraId="109C17B3" w14:textId="77777777" w:rsidR="0066120A" w:rsidRDefault="00C15084">
      <w:pPr>
        <w:rPr>
          <w:rFonts w:ascii="Times New Roman" w:hAnsi="Times New Roman"/>
          <w:sz w:val="32"/>
          <w:szCs w:val="24"/>
        </w:rPr>
      </w:pPr>
      <w:r>
        <w:rPr>
          <w:rFonts w:ascii="Times New Roman" w:hAnsi="Times New Roman"/>
          <w:sz w:val="32"/>
          <w:szCs w:val="24"/>
        </w:rPr>
        <w:t xml:space="preserve">Although it is unclear from the findings exactly how many hours per day Tipene was confined in his cell, it is implied in the findings that Tipene may have spent up to 24 hours per day inside. Given that, in a report into </w:t>
      </w:r>
      <w:r>
        <w:rPr>
          <w:rFonts w:ascii="Times New Roman" w:hAnsi="Times New Roman"/>
          <w:sz w:val="32"/>
          <w:szCs w:val="24"/>
        </w:rPr>
        <w:t>prisons in 2013/14, the Ombudsman (2014) finds Directed Segregation prisoners at Rimutaka, where Tipene was confined, were denied their minimum one hour of fresh air daily, it appears that Tipene may have endured those conditions of total confinement prior</w:t>
      </w:r>
      <w:r>
        <w:rPr>
          <w:rFonts w:ascii="Times New Roman" w:hAnsi="Times New Roman"/>
          <w:sz w:val="32"/>
          <w:szCs w:val="24"/>
        </w:rPr>
        <w:t xml:space="preserve"> to his death in 2014. </w:t>
      </w:r>
    </w:p>
    <w:p w14:paraId="4F45DF1B"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Despite what appears to be cruel and inhuman treatment of Tipene, Coroner Evans is not</w:t>
      </w:r>
    </w:p>
    <w:p w14:paraId="468CE7AC"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convinced that his segregation status was a factor in his death. ‘Whether or not his Directed</w:t>
      </w:r>
    </w:p>
    <w:p w14:paraId="26A09BA9"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Segregation was a factor influencing his decision t</w:t>
      </w:r>
      <w:r>
        <w:rPr>
          <w:rFonts w:ascii="Times New Roman" w:hAnsi="Times New Roman"/>
          <w:sz w:val="32"/>
          <w:szCs w:val="24"/>
        </w:rPr>
        <w:t xml:space="preserve">o take his life cannot be known’ (Evans 2015, para. 50). Coroner Evans was, in this </w:t>
      </w:r>
      <w:r>
        <w:rPr>
          <w:rFonts w:ascii="Times New Roman" w:hAnsi="Times New Roman"/>
          <w:sz w:val="32"/>
          <w:szCs w:val="24"/>
        </w:rPr>
        <w:lastRenderedPageBreak/>
        <w:t>way, unwilling to question how the dehumanising treatment of Tipene made him more susceptible to taking his own life. In this instance, the state refuses to consider how it</w:t>
      </w:r>
      <w:r>
        <w:rPr>
          <w:rFonts w:ascii="Times New Roman" w:hAnsi="Times New Roman"/>
          <w:sz w:val="32"/>
          <w:szCs w:val="24"/>
        </w:rPr>
        <w:t>s actions may establish zones of abjection that place those in its care at greater risk of death.</w:t>
      </w:r>
    </w:p>
    <w:p w14:paraId="7A8064A1" w14:textId="77777777" w:rsidR="0066120A" w:rsidRDefault="0066120A">
      <w:pPr>
        <w:spacing w:after="0" w:line="240" w:lineRule="auto"/>
        <w:rPr>
          <w:rFonts w:ascii="Times New Roman" w:hAnsi="Times New Roman"/>
          <w:sz w:val="32"/>
          <w:szCs w:val="24"/>
        </w:rPr>
      </w:pPr>
    </w:p>
    <w:p w14:paraId="2AA16435" w14:textId="2F381FEC" w:rsidR="0066120A" w:rsidRDefault="00C15084">
      <w:pPr>
        <w:spacing w:after="0" w:line="240" w:lineRule="auto"/>
        <w:rPr>
          <w:rFonts w:ascii="Times New Roman" w:hAnsi="Times New Roman"/>
          <w:sz w:val="32"/>
          <w:szCs w:val="24"/>
        </w:rPr>
      </w:pPr>
      <w:r>
        <w:rPr>
          <w:rFonts w:ascii="Times New Roman" w:hAnsi="Times New Roman"/>
          <w:sz w:val="32"/>
          <w:szCs w:val="24"/>
        </w:rPr>
        <w:t>A second form of isolation that can amount to solitary confinement in New Zealand prisons are the At-Risk Units (ARUs). The ARUs ‘comprise of solitar</w:t>
      </w:r>
      <w:r>
        <w:rPr>
          <w:rFonts w:ascii="Times New Roman" w:hAnsi="Times New Roman"/>
          <w:sz w:val="32"/>
          <w:szCs w:val="24"/>
        </w:rPr>
        <w:t>y cells where prisoners are transferred in efforts to prevent the risk of personal harm or injury to themselves’ (Harris 2015, 40). ARUs play a vital role in almost all coroners’ findings into self-inflicted deaths. Many of these findings start with the as</w:t>
      </w:r>
      <w:r>
        <w:rPr>
          <w:rFonts w:ascii="Times New Roman" w:hAnsi="Times New Roman"/>
          <w:sz w:val="32"/>
          <w:szCs w:val="24"/>
        </w:rPr>
        <w:t>sumption that ‘good strategies’ for managing suicidal people is to place them in a ‘suicide-proof’ ARU. Many findings discuss at length the various at-risk assessments that prisoners underwent during their incarceration. The purpose of this is to determine</w:t>
      </w:r>
      <w:r>
        <w:rPr>
          <w:rFonts w:ascii="Times New Roman" w:hAnsi="Times New Roman"/>
          <w:sz w:val="32"/>
          <w:szCs w:val="24"/>
        </w:rPr>
        <w:t xml:space="preserve"> if a mistake was made in failing to place the deceased in the ARU.</w:t>
      </w:r>
    </w:p>
    <w:p w14:paraId="0C8E1881" w14:textId="77777777" w:rsidR="0066120A" w:rsidRDefault="0066120A">
      <w:pPr>
        <w:spacing w:after="0" w:line="240" w:lineRule="auto"/>
        <w:rPr>
          <w:rFonts w:ascii="Times New Roman" w:hAnsi="Times New Roman"/>
          <w:sz w:val="32"/>
          <w:szCs w:val="24"/>
        </w:rPr>
      </w:pPr>
    </w:p>
    <w:p w14:paraId="424EB8C5"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Yet the conditions in ARUs have been exposed as degrading and inhumane. Shalev finds that ‘the appearance, conditions and regime in most of the At Risk units we visited were as impoverish</w:t>
      </w:r>
      <w:r>
        <w:rPr>
          <w:rFonts w:ascii="Times New Roman" w:hAnsi="Times New Roman"/>
          <w:sz w:val="32"/>
          <w:szCs w:val="24"/>
        </w:rPr>
        <w:t>ed and stark as those in punitive segregation units and units for the management of difficult prisoners. Since segregation is a known risk factor for self-harm and suicide, it follows that the people at risk of such behaviour should not be segregated’ (Sha</w:t>
      </w:r>
      <w:r>
        <w:rPr>
          <w:rFonts w:ascii="Times New Roman" w:hAnsi="Times New Roman"/>
          <w:sz w:val="32"/>
          <w:szCs w:val="24"/>
        </w:rPr>
        <w:t>lev 2017, 34). According to Harris’ (2015) study of ARUs, prisoners are locked in ARU cells for up to 23 hours per day.</w:t>
      </w:r>
    </w:p>
    <w:p w14:paraId="61134856" w14:textId="77777777" w:rsidR="0066120A" w:rsidRDefault="0066120A">
      <w:pPr>
        <w:rPr>
          <w:rFonts w:ascii="Times New Roman" w:hAnsi="Times New Roman"/>
          <w:sz w:val="32"/>
          <w:szCs w:val="24"/>
        </w:rPr>
      </w:pPr>
    </w:p>
    <w:p w14:paraId="3BCB053A" w14:textId="172D7F4C" w:rsidR="0066120A" w:rsidRDefault="00C15084">
      <w:pPr>
        <w:rPr>
          <w:rFonts w:ascii="Times New Roman" w:hAnsi="Times New Roman"/>
          <w:sz w:val="32"/>
          <w:szCs w:val="24"/>
        </w:rPr>
      </w:pPr>
      <w:r>
        <w:rPr>
          <w:rFonts w:ascii="Times New Roman" w:hAnsi="Times New Roman"/>
          <w:sz w:val="32"/>
          <w:szCs w:val="24"/>
        </w:rPr>
        <w:t>Coroner Scott’s discussion of the ARU and suicide-proof cells is a refreshingly candid account of the state’s approach to suici</w:t>
      </w:r>
      <w:r>
        <w:rPr>
          <w:rFonts w:ascii="Times New Roman" w:hAnsi="Times New Roman"/>
          <w:sz w:val="32"/>
          <w:szCs w:val="24"/>
        </w:rPr>
        <w:t>dal prisoners. Coroner Scott states ‘At the hearing, counsel for [Piri’s]36 family asked a senior prison officer if prison cells could be made totally safe or suicide-proof. The answer that he received was “yes but only by dehumanising the cell environment</w:t>
      </w:r>
      <w:r>
        <w:rPr>
          <w:rFonts w:ascii="Times New Roman" w:hAnsi="Times New Roman"/>
          <w:sz w:val="32"/>
          <w:szCs w:val="24"/>
        </w:rPr>
        <w:t xml:space="preserve"> or [sic] the prisoner”. He went on to describe how this in fact could be done and how in fact it was done in a very limited number of high risk cells’ (2012c, para. 26). This is a clear admission by Corrections and acceptance by the </w:t>
      </w:r>
      <w:r>
        <w:rPr>
          <w:rFonts w:ascii="Times New Roman" w:hAnsi="Times New Roman"/>
          <w:sz w:val="32"/>
          <w:szCs w:val="24"/>
        </w:rPr>
        <w:lastRenderedPageBreak/>
        <w:t>coroner that there are</w:t>
      </w:r>
      <w:r>
        <w:rPr>
          <w:rFonts w:ascii="Times New Roman" w:hAnsi="Times New Roman"/>
          <w:sz w:val="32"/>
          <w:szCs w:val="24"/>
        </w:rPr>
        <w:t xml:space="preserve"> dehumanising cells in New Zealand prisons. Coroner Scott then comments that imprisonment in suicide-proof cells ‘would be a grossly excessive extra penalty to impose on prisoners’ (2012c, para. 28).37 Coroner Scott states ‘I have very strong views on anyt</w:t>
      </w:r>
      <w:r>
        <w:rPr>
          <w:rFonts w:ascii="Times New Roman" w:hAnsi="Times New Roman"/>
          <w:sz w:val="32"/>
          <w:szCs w:val="24"/>
        </w:rPr>
        <w:t>hing which tends to make prisons any more dehumanised than they must be to secure the population’ (2012c, para. 28, emphasis added). In these striking paragraphs, Coroner Scott states that suicide-proof cells are dehumanising and a grossly excessive penalt</w:t>
      </w:r>
      <w:r>
        <w:rPr>
          <w:rFonts w:ascii="Times New Roman" w:hAnsi="Times New Roman"/>
          <w:sz w:val="32"/>
          <w:szCs w:val="24"/>
        </w:rPr>
        <w:t>y on prisoners. He also rejects the dehumanisation of prisoners any more ‘than they must be’. Implicit in these contradictions is the recognition that prisons must dehumanise incarcerated people in order to ‘secure the population’.</w:t>
      </w:r>
    </w:p>
    <w:p w14:paraId="769450D1"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Importantly, although AR</w:t>
      </w:r>
      <w:r>
        <w:rPr>
          <w:rFonts w:ascii="Times New Roman" w:hAnsi="Times New Roman"/>
          <w:sz w:val="32"/>
          <w:szCs w:val="24"/>
        </w:rPr>
        <w:t>Us dehumanise the people who endure them, suicides still occur in these supposedly suicide-proof cells.</w:t>
      </w:r>
    </w:p>
    <w:p w14:paraId="32ED5E75" w14:textId="77777777" w:rsidR="0066120A" w:rsidRDefault="0066120A">
      <w:pPr>
        <w:spacing w:after="0" w:line="240" w:lineRule="auto"/>
        <w:rPr>
          <w:rFonts w:ascii="Times New Roman" w:hAnsi="Times New Roman"/>
          <w:sz w:val="32"/>
          <w:szCs w:val="24"/>
        </w:rPr>
      </w:pPr>
    </w:p>
    <w:p w14:paraId="574D8425"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 xml:space="preserve">Probably the most widely reported prison death in New Zealand media, the death of Antoine Dixon, happened while he was in an ARU (Evans 2013). Antoine </w:t>
      </w:r>
      <w:r>
        <w:rPr>
          <w:rFonts w:ascii="Times New Roman" w:hAnsi="Times New Roman"/>
          <w:sz w:val="32"/>
          <w:szCs w:val="24"/>
        </w:rPr>
        <w:t>took his own life while a prisoner at Auckland Prison in 2009.</w:t>
      </w:r>
    </w:p>
    <w:p w14:paraId="53D370E2" w14:textId="77777777" w:rsidR="0066120A" w:rsidRDefault="0066120A">
      <w:pPr>
        <w:spacing w:after="0" w:line="240" w:lineRule="auto"/>
        <w:rPr>
          <w:rFonts w:ascii="Times New Roman" w:hAnsi="Times New Roman"/>
          <w:sz w:val="32"/>
          <w:szCs w:val="24"/>
        </w:rPr>
      </w:pPr>
    </w:p>
    <w:p w14:paraId="719E6816" w14:textId="77777777" w:rsidR="0066120A" w:rsidRDefault="00C15084">
      <w:pPr>
        <w:rPr>
          <w:rFonts w:ascii="Times New Roman" w:hAnsi="Times New Roman"/>
          <w:sz w:val="32"/>
          <w:szCs w:val="24"/>
        </w:rPr>
      </w:pPr>
      <w:r>
        <w:rPr>
          <w:rFonts w:ascii="Times New Roman" w:hAnsi="Times New Roman"/>
          <w:sz w:val="32"/>
          <w:szCs w:val="24"/>
        </w:rPr>
        <w:t xml:space="preserve">Several elements of the circumstances of Antoine’s death are shocking, none more so than the way he was treated in the lead up to his death. During his period on remand since 2008, </w:t>
      </w:r>
      <w:r>
        <w:rPr>
          <w:rFonts w:ascii="Times New Roman" w:hAnsi="Times New Roman"/>
          <w:sz w:val="32"/>
          <w:szCs w:val="24"/>
        </w:rPr>
        <w:t xml:space="preserve">Antoine spent almost the entire time at Auckland Central Remand Prison (ACRP). The coroner comments that Antoine’s mental health deteriorated while at ACRP, leading to an apparent suicide attempt on February 1, 2009. As a result of this incident, officers </w:t>
      </w:r>
      <w:r>
        <w:rPr>
          <w:rFonts w:ascii="Times New Roman" w:hAnsi="Times New Roman"/>
          <w:sz w:val="32"/>
          <w:szCs w:val="24"/>
        </w:rPr>
        <w:t>placed Antoine in the ARU in waist restraints, ‘meaning that his hands were handcuffed to a belt around his waist’ (Evans 2013, para. 21). The handcuffs created severe discomfort for Antoine, causing cellulitis which required intravenous anti-biotic for tr</w:t>
      </w:r>
      <w:r>
        <w:rPr>
          <w:rFonts w:ascii="Times New Roman" w:hAnsi="Times New Roman"/>
          <w:sz w:val="32"/>
          <w:szCs w:val="24"/>
        </w:rPr>
        <w:t>eatment. Antoine never received this treatment ‘due to logistical difficulties in taking Mr Dixon to hospital’ (Evans 2013, para. 54). He was in waist restraints for thirty-one uninterrupted hours.</w:t>
      </w:r>
    </w:p>
    <w:p w14:paraId="650C19F6" w14:textId="77777777" w:rsidR="0066120A" w:rsidRDefault="00C15084">
      <w:pPr>
        <w:rPr>
          <w:rFonts w:ascii="Times New Roman" w:hAnsi="Times New Roman"/>
          <w:sz w:val="32"/>
          <w:szCs w:val="24"/>
        </w:rPr>
      </w:pPr>
      <w:r>
        <w:rPr>
          <w:rFonts w:ascii="Times New Roman" w:hAnsi="Times New Roman"/>
          <w:sz w:val="32"/>
          <w:szCs w:val="24"/>
        </w:rPr>
        <w:lastRenderedPageBreak/>
        <w:t>On February 2, 2009, Antoine was transferred to Auckland P</w:t>
      </w:r>
      <w:r>
        <w:rPr>
          <w:rFonts w:ascii="Times New Roman" w:hAnsi="Times New Roman"/>
          <w:sz w:val="32"/>
          <w:szCs w:val="24"/>
        </w:rPr>
        <w:t>rison because there was a tiedown bed in that prison’s ARU. The tie-down bed and waist-restraint are two of the most punitive technologies that are used in ARUs. Antoine was placed in a tie-down bed until the afternoon of February 4. Inspector Aumua told t</w:t>
      </w:r>
      <w:r>
        <w:rPr>
          <w:rFonts w:ascii="Times New Roman" w:hAnsi="Times New Roman"/>
          <w:sz w:val="32"/>
          <w:szCs w:val="24"/>
        </w:rPr>
        <w:t>he coroner that since Antoine’s ‘placement in waist restraints and on the tie-down bed he had access to drinking water only when staff provided it. He said no record was maintained in relation to the times food and water were offered to Mr Dixon and whethe</w:t>
      </w:r>
      <w:r>
        <w:rPr>
          <w:rFonts w:ascii="Times New Roman" w:hAnsi="Times New Roman"/>
          <w:sz w:val="32"/>
          <w:szCs w:val="24"/>
        </w:rPr>
        <w:t>r such food or water were accepted or refused’ (Evans 2013, para. 32).</w:t>
      </w:r>
    </w:p>
    <w:p w14:paraId="1C4CE9E1" w14:textId="77777777" w:rsidR="0066120A" w:rsidRDefault="00C15084">
      <w:pPr>
        <w:rPr>
          <w:rFonts w:ascii="Times New Roman" w:hAnsi="Times New Roman"/>
          <w:sz w:val="32"/>
          <w:szCs w:val="24"/>
        </w:rPr>
      </w:pPr>
      <w:r>
        <w:rPr>
          <w:rFonts w:ascii="Times New Roman" w:hAnsi="Times New Roman"/>
          <w:sz w:val="32"/>
          <w:szCs w:val="24"/>
        </w:rPr>
        <w:t>Dr Pillai, a forensic psychiatrist, saw Antoine while he was in a tie-down bed on February 3. Dr Pillai was highly concerned about the use of the tie-down bed. Dr Pillai found Antoine w</w:t>
      </w:r>
      <w:r>
        <w:rPr>
          <w:rFonts w:ascii="Times New Roman" w:hAnsi="Times New Roman"/>
          <w:sz w:val="32"/>
          <w:szCs w:val="24"/>
        </w:rPr>
        <w:t>as exhibiting features of delirium, ‘secondary to a number of causes, including his deteriorated physical state (infection and dehydration), sleep deprivation and ongoing restraints’ (Evans 2013, para. 54). Dr Pillai recommended that Antoine be removed fro</w:t>
      </w:r>
      <w:r>
        <w:rPr>
          <w:rFonts w:ascii="Times New Roman" w:hAnsi="Times New Roman"/>
          <w:sz w:val="32"/>
          <w:szCs w:val="24"/>
        </w:rPr>
        <w:t>m the tie-down bed, telling Coroner Evans that ‘the tying-down of people on beds to manage the risk of self-harm is not something that happens in a mental health context. He said he and his colleagues feel very uncomfortable about such practice’ (Evans 201</w:t>
      </w:r>
      <w:r>
        <w:rPr>
          <w:rFonts w:ascii="Times New Roman" w:hAnsi="Times New Roman"/>
          <w:sz w:val="32"/>
          <w:szCs w:val="24"/>
        </w:rPr>
        <w:t>3, para. 64). Antoine was removed from the tie-down bed on the afternoon of February 4.</w:t>
      </w:r>
    </w:p>
    <w:p w14:paraId="4DB52BB6" w14:textId="77777777" w:rsidR="0066120A" w:rsidRDefault="00C15084">
      <w:pPr>
        <w:rPr>
          <w:rFonts w:ascii="Times New Roman" w:hAnsi="Times New Roman"/>
          <w:sz w:val="32"/>
          <w:szCs w:val="24"/>
        </w:rPr>
      </w:pPr>
      <w:r>
        <w:rPr>
          <w:rFonts w:ascii="Times New Roman" w:hAnsi="Times New Roman"/>
          <w:sz w:val="32"/>
          <w:szCs w:val="24"/>
        </w:rPr>
        <w:t xml:space="preserve">Once Antoine was removed from the tie-down bed, he was placed in a ‘tear proof’ stitch gown in the ARU and placed under fifteen-minute observations, meaning an officer </w:t>
      </w:r>
      <w:r>
        <w:rPr>
          <w:rFonts w:ascii="Times New Roman" w:hAnsi="Times New Roman"/>
          <w:sz w:val="32"/>
          <w:szCs w:val="24"/>
        </w:rPr>
        <w:t>needed to physically check him every fifteen minutes. On the evening of February 4, a Corrections officer, ‘heard a thump and went to Mr Dixon's cell, he saw him standing behind the door holding a cord around his neck’ (Evans 2013, para. 46). The Correctio</w:t>
      </w:r>
      <w:r>
        <w:rPr>
          <w:rFonts w:ascii="Times New Roman" w:hAnsi="Times New Roman"/>
          <w:sz w:val="32"/>
          <w:szCs w:val="24"/>
        </w:rPr>
        <w:t xml:space="preserve">ns officer, however, did not open the cell at the time, even though he had the key. Instead, he waited seven minutes until three other officers arrived before he opened the door. In that time, the officer saw Antoine collapse. The officer waited for three </w:t>
      </w:r>
      <w:r>
        <w:rPr>
          <w:rFonts w:ascii="Times New Roman" w:hAnsi="Times New Roman"/>
          <w:sz w:val="32"/>
          <w:szCs w:val="24"/>
        </w:rPr>
        <w:t>other officers, as the prison’s policy was that Antoine’s cell was not to be opened without four officers present.</w:t>
      </w:r>
    </w:p>
    <w:p w14:paraId="3A5AD031" w14:textId="477942ED" w:rsidR="0066120A" w:rsidRDefault="00C15084">
      <w:pPr>
        <w:rPr>
          <w:rFonts w:ascii="Times New Roman" w:hAnsi="Times New Roman"/>
          <w:sz w:val="32"/>
          <w:szCs w:val="24"/>
        </w:rPr>
      </w:pPr>
      <w:r>
        <w:rPr>
          <w:rFonts w:ascii="Times New Roman" w:hAnsi="Times New Roman"/>
          <w:sz w:val="32"/>
          <w:szCs w:val="24"/>
        </w:rPr>
        <w:lastRenderedPageBreak/>
        <w:t xml:space="preserve">In Antoine Dixon’s case, Corrections officials continually stressed the necessity of treating Antoine in a dehumanising manner, such </w:t>
      </w:r>
      <w:r>
        <w:rPr>
          <w:rFonts w:ascii="Times New Roman" w:hAnsi="Times New Roman"/>
          <w:sz w:val="32"/>
          <w:szCs w:val="24"/>
        </w:rPr>
        <w:t>as the waist restraints and tie-down bed. The coroner states</w:t>
      </w:r>
    </w:p>
    <w:p w14:paraId="48F1B0EE" w14:textId="77777777" w:rsidR="0066120A" w:rsidRDefault="00C15084">
      <w:pPr>
        <w:ind w:left="1440"/>
        <w:rPr>
          <w:rFonts w:ascii="Times New Roman" w:hAnsi="Times New Roman"/>
          <w:sz w:val="32"/>
          <w:szCs w:val="24"/>
        </w:rPr>
      </w:pPr>
      <w:r>
        <w:rPr>
          <w:rFonts w:ascii="Times New Roman" w:hAnsi="Times New Roman"/>
          <w:sz w:val="32"/>
          <w:szCs w:val="24"/>
        </w:rPr>
        <w:t>Mr Dixon had a history of unpredictability, aggressiveness and selfharming. On occasions, he had appeared to be compliant, but on other occasions his behaviour was described as extreme and manipu</w:t>
      </w:r>
      <w:r>
        <w:rPr>
          <w:rFonts w:ascii="Times New Roman" w:hAnsi="Times New Roman"/>
          <w:sz w:val="32"/>
          <w:szCs w:val="24"/>
        </w:rPr>
        <w:t>lative. He was regarded as a high-risk prisoner who demanded the strictest management regime, in order to ensure the safety of both himself and of those who came into contact with him. (Evans 2013, para. 2)</w:t>
      </w:r>
    </w:p>
    <w:p w14:paraId="7B1D7F16" w14:textId="77777777" w:rsidR="0066120A" w:rsidRDefault="00C15084">
      <w:pPr>
        <w:spacing w:after="0" w:line="240" w:lineRule="auto"/>
        <w:rPr>
          <w:rFonts w:ascii="Times New Roman" w:hAnsi="Times New Roman"/>
          <w:sz w:val="32"/>
          <w:szCs w:val="24"/>
        </w:rPr>
      </w:pPr>
      <w:r>
        <w:rPr>
          <w:rFonts w:ascii="Times New Roman" w:hAnsi="Times New Roman"/>
          <w:sz w:val="32"/>
          <w:szCs w:val="24"/>
        </w:rPr>
        <w:t>Within this context, the bed and waist restraints</w:t>
      </w:r>
      <w:r>
        <w:rPr>
          <w:rFonts w:ascii="Times New Roman" w:hAnsi="Times New Roman"/>
          <w:sz w:val="32"/>
          <w:szCs w:val="24"/>
        </w:rPr>
        <w:t xml:space="preserve"> were described by officials as the ‘only option’ (para. 29), ‘the most appropriate place for Mr Dixon’ (para. 29), and ‘reasonable and practical’ (para. 84).</w:t>
      </w:r>
    </w:p>
    <w:p w14:paraId="35A16D06" w14:textId="77777777" w:rsidR="0066120A" w:rsidRDefault="0066120A">
      <w:pPr>
        <w:spacing w:after="0" w:line="240" w:lineRule="auto"/>
        <w:rPr>
          <w:rFonts w:ascii="Times New Roman" w:hAnsi="Times New Roman"/>
          <w:sz w:val="32"/>
          <w:szCs w:val="24"/>
        </w:rPr>
      </w:pPr>
    </w:p>
    <w:p w14:paraId="0CE046BD" w14:textId="77777777" w:rsidR="0066120A" w:rsidRDefault="00C15084">
      <w:pPr>
        <w:rPr>
          <w:rFonts w:ascii="Times New Roman" w:hAnsi="Times New Roman"/>
          <w:sz w:val="32"/>
          <w:szCs w:val="24"/>
        </w:rPr>
      </w:pPr>
      <w:r>
        <w:rPr>
          <w:rFonts w:ascii="Times New Roman" w:hAnsi="Times New Roman"/>
          <w:sz w:val="32"/>
          <w:szCs w:val="24"/>
        </w:rPr>
        <w:t>Particularly unmanageable prisoners are placed in heightened precarity. Prisoners who are forced</w:t>
      </w:r>
      <w:r>
        <w:rPr>
          <w:rFonts w:ascii="Times New Roman" w:hAnsi="Times New Roman"/>
          <w:sz w:val="32"/>
          <w:szCs w:val="24"/>
        </w:rPr>
        <w:t xml:space="preserve"> into Directed Segregation or cell confinement, as a way to manage them as a threat to prison security or punish them for misbehaviour, are exposed to the dehumanising practices of isolation. For prisoners like Antoine Dixon, inhumane and degrading practic</w:t>
      </w:r>
      <w:r>
        <w:rPr>
          <w:rFonts w:ascii="Times New Roman" w:hAnsi="Times New Roman"/>
          <w:sz w:val="32"/>
          <w:szCs w:val="24"/>
        </w:rPr>
        <w:t>es such as waist and bed restraints are the technologies through which their basic bodily movement is restricted, as a way to mitigate risk. In other words, because prisoners are abject beings and part of a population that needs to be managed, practices th</w:t>
      </w:r>
      <w:r>
        <w:rPr>
          <w:rFonts w:ascii="Times New Roman" w:hAnsi="Times New Roman"/>
          <w:sz w:val="32"/>
          <w:szCs w:val="24"/>
        </w:rPr>
        <w:t xml:space="preserve">at dehumanise prisoners re-enact the normative presupposition that prisoners are not human. These practices reproduce the ideal that these abject bodies are worth less than human bodies within the normative regime. </w:t>
      </w:r>
    </w:p>
    <w:p w14:paraId="1306860C" w14:textId="77777777" w:rsidR="0066120A" w:rsidRDefault="00C15084">
      <w:pPr>
        <w:rPr>
          <w:rFonts w:ascii="Times New Roman" w:hAnsi="Times New Roman"/>
          <w:sz w:val="32"/>
          <w:szCs w:val="24"/>
        </w:rPr>
      </w:pPr>
      <w:r>
        <w:rPr>
          <w:rFonts w:ascii="Times New Roman" w:hAnsi="Times New Roman"/>
          <w:sz w:val="32"/>
          <w:szCs w:val="24"/>
        </w:rPr>
        <w:t>GRIEVING PRISON DEATH</w:t>
      </w:r>
    </w:p>
    <w:p w14:paraId="7C513579" w14:textId="77777777" w:rsidR="0066120A" w:rsidRDefault="00C15084">
      <w:pPr>
        <w:rPr>
          <w:rFonts w:ascii="Times New Roman" w:hAnsi="Times New Roman"/>
          <w:sz w:val="32"/>
          <w:szCs w:val="24"/>
        </w:rPr>
      </w:pPr>
      <w:r>
        <w:rPr>
          <w:rFonts w:ascii="Times New Roman" w:hAnsi="Times New Roman"/>
          <w:sz w:val="32"/>
          <w:szCs w:val="24"/>
        </w:rPr>
        <w:t>Quoting butler: ‘U</w:t>
      </w:r>
      <w:r>
        <w:rPr>
          <w:rFonts w:ascii="Times New Roman" w:hAnsi="Times New Roman"/>
          <w:sz w:val="32"/>
          <w:szCs w:val="24"/>
        </w:rPr>
        <w:t>ngrievable lives are those that cannot be lost, and cannot be destroyed, because they already inhabit a lost and destroyed zone’ (Butler 2010, xix). For the life of the inhabitants of this abject zone, their destruction ‘might even seem like a kind of redu</w:t>
      </w:r>
      <w:r>
        <w:rPr>
          <w:rFonts w:ascii="Times New Roman" w:hAnsi="Times New Roman"/>
          <w:sz w:val="32"/>
          <w:szCs w:val="24"/>
        </w:rPr>
        <w:t xml:space="preserve">ndancy, or </w:t>
      </w:r>
      <w:r>
        <w:rPr>
          <w:rFonts w:ascii="Times New Roman" w:hAnsi="Times New Roman"/>
          <w:sz w:val="32"/>
          <w:szCs w:val="24"/>
        </w:rPr>
        <w:lastRenderedPageBreak/>
        <w:t>a way of simply ratifying a prior truth’ (Butler 2010, xix). The death of the prisoner, often premature, preventable and in dehumanising conditions, merely affirms a ‘truth’ – the ‘truth’ that prisoners are worthy of dehumanisation.</w:t>
      </w:r>
    </w:p>
    <w:p w14:paraId="527D6F39" w14:textId="77777777" w:rsidR="0066120A" w:rsidRDefault="00C15084">
      <w:pPr>
        <w:rPr>
          <w:rFonts w:ascii="Times New Roman" w:hAnsi="Times New Roman"/>
          <w:sz w:val="32"/>
          <w:szCs w:val="24"/>
        </w:rPr>
      </w:pPr>
      <w:r>
        <w:rPr>
          <w:rFonts w:ascii="Times New Roman" w:hAnsi="Times New Roman"/>
          <w:sz w:val="32"/>
          <w:szCs w:val="24"/>
        </w:rPr>
        <w:t>In some of t</w:t>
      </w:r>
      <w:r>
        <w:rPr>
          <w:rFonts w:ascii="Times New Roman" w:hAnsi="Times New Roman"/>
          <w:sz w:val="32"/>
          <w:szCs w:val="24"/>
        </w:rPr>
        <w:t>he findings, the prisoners see themselves as ungrievable or unworthy of life. A prisoner who took his own life wrote on the walls of his cell: ‘three whom love me shouldn't ... if it makes you happy ... why are you so sad ... one less bad in the world’ (Mc</w:t>
      </w:r>
      <w:r>
        <w:rPr>
          <w:rFonts w:ascii="Times New Roman" w:hAnsi="Times New Roman"/>
          <w:sz w:val="32"/>
          <w:szCs w:val="24"/>
        </w:rPr>
        <w:t>Dowell 2009, para. 17, ellipses original). The prisoner here accepts that he is a ‘bad’, someone who does not deserve life. He believes he is undeserving of love and that those who love him should not be saddened by his death. At the same time, he recognis</w:t>
      </w:r>
      <w:r>
        <w:rPr>
          <w:rFonts w:ascii="Times New Roman" w:hAnsi="Times New Roman"/>
          <w:sz w:val="32"/>
          <w:szCs w:val="24"/>
        </w:rPr>
        <w:t>es that those who love him will be sad, that they will have to grieve his death. He, however, rejects the need for that sadness because his life was a bad one, unworthy of grief.</w:t>
      </w:r>
    </w:p>
    <w:p w14:paraId="3120B8BF" w14:textId="12096068" w:rsidR="0066120A" w:rsidRDefault="00C15084">
      <w:pPr>
        <w:rPr>
          <w:rFonts w:ascii="Times New Roman" w:hAnsi="Times New Roman"/>
          <w:sz w:val="32"/>
          <w:szCs w:val="24"/>
        </w:rPr>
      </w:pPr>
      <w:r>
        <w:rPr>
          <w:rFonts w:ascii="Times New Roman" w:hAnsi="Times New Roman"/>
          <w:sz w:val="32"/>
          <w:szCs w:val="24"/>
        </w:rPr>
        <w:t>The families of the deceased are, in many cases, the human faces to w</w:t>
      </w:r>
      <w:r>
        <w:rPr>
          <w:rFonts w:ascii="Times New Roman" w:hAnsi="Times New Roman"/>
          <w:sz w:val="32"/>
          <w:szCs w:val="24"/>
        </w:rPr>
        <w:t xml:space="preserve">hich coroners are required to express their impossible grief. Coroners, in their findings often say something to the effect of ‘I extend my sincere condolences to Mr Kahu's family on their loss’ (na Nagara 2008, para. 82). </w:t>
      </w:r>
    </w:p>
    <w:p w14:paraId="4F5C4576" w14:textId="77777777" w:rsidR="0066120A" w:rsidRDefault="00C15084">
      <w:pPr>
        <w:rPr>
          <w:rFonts w:ascii="Times New Roman" w:hAnsi="Times New Roman"/>
          <w:sz w:val="32"/>
          <w:szCs w:val="24"/>
        </w:rPr>
      </w:pPr>
      <w:r>
        <w:rPr>
          <w:rFonts w:ascii="Times New Roman" w:hAnsi="Times New Roman"/>
          <w:sz w:val="32"/>
          <w:szCs w:val="24"/>
        </w:rPr>
        <w:t>However, these condolences, alth</w:t>
      </w:r>
      <w:r>
        <w:rPr>
          <w:rFonts w:ascii="Times New Roman" w:hAnsi="Times New Roman"/>
          <w:sz w:val="32"/>
          <w:szCs w:val="24"/>
        </w:rPr>
        <w:t>ough not always expressed, obscure the conflicting interests and narratives of the families and the state. Families often reject the official account of the deceased’s death. In the case of Nicholas Ward Harris, who died while being restrained by Correctio</w:t>
      </w:r>
      <w:r>
        <w:rPr>
          <w:rFonts w:ascii="Times New Roman" w:hAnsi="Times New Roman"/>
          <w:sz w:val="32"/>
          <w:szCs w:val="24"/>
        </w:rPr>
        <w:t>ns officers, Coroner Ryan comments that although the evidence from the Corrections officers involved may be ‘self-serving’, he has ‘no reason to doubt their integrity’ (2012b, para. 61). The family in this case strongly dispute the coroner’s account of Nic</w:t>
      </w:r>
      <w:r>
        <w:rPr>
          <w:rFonts w:ascii="Times New Roman" w:hAnsi="Times New Roman"/>
          <w:sz w:val="32"/>
          <w:szCs w:val="24"/>
        </w:rPr>
        <w:t>holas’ death.51 In the findings, Coroner Ryan notes multiple factual disputes the family had with Corrections’ evidence, but prefers Corrections’ evidence in all instances. It was also reported in the Waikato Times that Nicholas’ brother-in-law interrupted</w:t>
      </w:r>
      <w:r>
        <w:rPr>
          <w:rFonts w:ascii="Times New Roman" w:hAnsi="Times New Roman"/>
          <w:sz w:val="32"/>
          <w:szCs w:val="24"/>
        </w:rPr>
        <w:t xml:space="preserve"> evidence provided by Detective Sergeant Ross Patterson. Waikato Times quote Nicholas’ brother-in-law as saying: ‘The first call we got was that he </w:t>
      </w:r>
      <w:r>
        <w:rPr>
          <w:rFonts w:ascii="Times New Roman" w:hAnsi="Times New Roman"/>
          <w:sz w:val="32"/>
          <w:szCs w:val="24"/>
        </w:rPr>
        <w:lastRenderedPageBreak/>
        <w:t>committed suicide. You're fucking murderers, that's what you are’ (Kidd 2012, n.p., expletive deleted in ori</w:t>
      </w:r>
      <w:r>
        <w:rPr>
          <w:rFonts w:ascii="Times New Roman" w:hAnsi="Times New Roman"/>
          <w:sz w:val="32"/>
          <w:szCs w:val="24"/>
        </w:rPr>
        <w:t>ginal).</w:t>
      </w:r>
    </w:p>
    <w:p w14:paraId="21E1A40C" w14:textId="77777777" w:rsidR="0066120A" w:rsidRDefault="00C15084">
      <w:pPr>
        <w:rPr>
          <w:rFonts w:ascii="Times New Roman" w:hAnsi="Times New Roman"/>
          <w:sz w:val="32"/>
          <w:szCs w:val="24"/>
        </w:rPr>
      </w:pPr>
      <w:r>
        <w:rPr>
          <w:rFonts w:ascii="Times New Roman" w:hAnsi="Times New Roman"/>
          <w:sz w:val="32"/>
          <w:szCs w:val="24"/>
        </w:rPr>
        <w:t>For many coroners, the very purpose of coronial inquests into deaths in prisons is about confidence. Coroner Shortland comments that ‘Any death in prison is one too many, which always casts suspicions and doubts on the system and individuals who wo</w:t>
      </w:r>
      <w:r>
        <w:rPr>
          <w:rFonts w:ascii="Times New Roman" w:hAnsi="Times New Roman"/>
          <w:sz w:val="32"/>
          <w:szCs w:val="24"/>
        </w:rPr>
        <w:t>rk within it’ (Shortland 2013, para. 101). While outlining the purpose of their inquests into deaths in prison, Coroners Greig (2012b, para. 90), McDowell (2009, para. 43), and Evans (2015, para. 55)54 state emphatically that it ‘is important that the publ</w:t>
      </w:r>
      <w:r>
        <w:rPr>
          <w:rFonts w:ascii="Times New Roman" w:hAnsi="Times New Roman"/>
          <w:sz w:val="32"/>
          <w:szCs w:val="24"/>
        </w:rPr>
        <w:t>ic should have confidence in the New Zealand prison system’. In other words, self-inflicted deaths in prison are inevitable and yet undermine confidence in the prison system. The purpose of coroners’ inquests is thus to reaffirm confidence in the prison sy</w:t>
      </w:r>
      <w:r>
        <w:rPr>
          <w:rFonts w:ascii="Times New Roman" w:hAnsi="Times New Roman"/>
          <w:sz w:val="32"/>
          <w:szCs w:val="24"/>
        </w:rPr>
        <w:t>stem by identifying small policy failures, where, if they are even present, should be avoided in the future. The Coroners Court, as an ideological state apparatus, is thus a tool for the maintenance of the prison system and confidence in it.</w:t>
      </w:r>
    </w:p>
    <w:p w14:paraId="685F3494" w14:textId="0CC43540" w:rsidR="0066120A" w:rsidRDefault="00C15084">
      <w:pPr>
        <w:rPr>
          <w:rFonts w:ascii="Times New Roman" w:hAnsi="Times New Roman"/>
          <w:sz w:val="32"/>
          <w:szCs w:val="24"/>
        </w:rPr>
      </w:pPr>
      <w:r>
        <w:rPr>
          <w:rFonts w:ascii="Times New Roman" w:hAnsi="Times New Roman"/>
          <w:sz w:val="32"/>
          <w:szCs w:val="24"/>
        </w:rPr>
        <w:t>Given t</w:t>
      </w:r>
      <w:r>
        <w:rPr>
          <w:rFonts w:ascii="Times New Roman" w:hAnsi="Times New Roman"/>
          <w:sz w:val="32"/>
          <w:szCs w:val="24"/>
        </w:rPr>
        <w:t>his purpose, and the wider conditions of imprisonment, the coroners effectively foreclose the possibility of the state grieving the death of the prisoner. At a normative level, the prisoner’s life is ungrievable. It is ungrievable because it is normatively</w:t>
      </w:r>
      <w:r>
        <w:rPr>
          <w:rFonts w:ascii="Times New Roman" w:hAnsi="Times New Roman"/>
          <w:sz w:val="32"/>
          <w:szCs w:val="24"/>
        </w:rPr>
        <w:t xml:space="preserve"> expelled from the meaning of human. Prior to their death, prisoners inhabit a zone of abjection, where their bodies are constructed through the practices of imprisonment as bodies unworthy of support and not quite a life. Because these lives are not fully</w:t>
      </w:r>
      <w:r>
        <w:rPr>
          <w:rFonts w:ascii="Times New Roman" w:hAnsi="Times New Roman"/>
          <w:sz w:val="32"/>
          <w:szCs w:val="24"/>
        </w:rPr>
        <w:t xml:space="preserve"> recognisable as lives, the loss of them is ungrievable according to the normative standards that deny their lives. In this sense, although I can count the number of people who have died in prison, their ethnicity, gender, age, and prisoner type, I cannot </w:t>
      </w:r>
      <w:r>
        <w:rPr>
          <w:rFonts w:ascii="Times New Roman" w:hAnsi="Times New Roman"/>
          <w:sz w:val="32"/>
          <w:szCs w:val="24"/>
        </w:rPr>
        <w:t>make the lives of these people count. Within a normative framework that denies prisoners the social conditions of a life worthy of living, their death cannot count. Their lives are ungrievable.</w:t>
      </w:r>
    </w:p>
    <w:p w14:paraId="2770F1E7" w14:textId="77777777" w:rsidR="0066120A" w:rsidRDefault="00C15084">
      <w:pPr>
        <w:rPr>
          <w:rFonts w:ascii="Times New Roman" w:hAnsi="Times New Roman"/>
          <w:sz w:val="32"/>
          <w:szCs w:val="24"/>
        </w:rPr>
      </w:pPr>
      <w:r>
        <w:rPr>
          <w:rFonts w:ascii="Times New Roman" w:hAnsi="Times New Roman"/>
          <w:sz w:val="32"/>
          <w:szCs w:val="24"/>
        </w:rPr>
        <w:t>The state itself is a fractured, contradictory, and incomplete</w:t>
      </w:r>
      <w:r>
        <w:rPr>
          <w:rFonts w:ascii="Times New Roman" w:hAnsi="Times New Roman"/>
          <w:sz w:val="32"/>
          <w:szCs w:val="24"/>
        </w:rPr>
        <w:t xml:space="preserve"> subject that must come to terms with the loss of a person in its custody. While </w:t>
      </w:r>
      <w:r>
        <w:rPr>
          <w:rFonts w:ascii="Times New Roman" w:hAnsi="Times New Roman"/>
          <w:sz w:val="32"/>
          <w:szCs w:val="24"/>
        </w:rPr>
        <w:lastRenderedPageBreak/>
        <w:t>it attempts to mourn the loss of the prisoner, it cannot truly do so if it accepts the inevitability of preventable custodial death and the dehumanising social conditions of i</w:t>
      </w:r>
      <w:r>
        <w:rPr>
          <w:rFonts w:ascii="Times New Roman" w:hAnsi="Times New Roman"/>
          <w:sz w:val="32"/>
          <w:szCs w:val="24"/>
        </w:rPr>
        <w:t>mprisonment. For Butler, ‘one mourns when one accepts the fact that the loss one undergoes will be one that changes you, changes you possibly forever, and that mourning has to do with agreeing to undergo a transformation the full result of which you cannot</w:t>
      </w:r>
      <w:r>
        <w:rPr>
          <w:rFonts w:ascii="Times New Roman" w:hAnsi="Times New Roman"/>
          <w:sz w:val="32"/>
          <w:szCs w:val="24"/>
        </w:rPr>
        <w:t xml:space="preserve"> know in advance’ (2004, 18). The state and its prison system, however, remain constant in the face of the loss of a prisoner.</w:t>
      </w:r>
    </w:p>
    <w:p w14:paraId="32FCE01E" w14:textId="77777777" w:rsidR="0066120A" w:rsidRDefault="00C15084">
      <w:pPr>
        <w:rPr>
          <w:rFonts w:ascii="Times New Roman" w:hAnsi="Times New Roman"/>
          <w:sz w:val="32"/>
          <w:szCs w:val="24"/>
        </w:rPr>
      </w:pPr>
      <w:r>
        <w:rPr>
          <w:rFonts w:ascii="Times New Roman" w:hAnsi="Times New Roman"/>
          <w:sz w:val="32"/>
          <w:szCs w:val="24"/>
        </w:rPr>
        <w:t>These trends within the coroners’ reports are part of the state’s broader inability to accept the loss of the prisoner and its ro</w:t>
      </w:r>
      <w:r>
        <w:rPr>
          <w:rFonts w:ascii="Times New Roman" w:hAnsi="Times New Roman"/>
          <w:sz w:val="32"/>
          <w:szCs w:val="24"/>
        </w:rPr>
        <w:t>le in creating the conditions for the loss. The loss of this abject being cannot be fully mourned by the state, as by accepting the inevitability of such losses, it refuses to be transformed by them. In that sense, to truly mourn the death of the prisoner,</w:t>
      </w:r>
      <w:r>
        <w:rPr>
          <w:rFonts w:ascii="Times New Roman" w:hAnsi="Times New Roman"/>
          <w:sz w:val="32"/>
          <w:szCs w:val="24"/>
        </w:rPr>
        <w:t xml:space="preserve"> a material transformation in the social conditions that facilitate carceral death is required. </w:t>
      </w:r>
    </w:p>
    <w:p w14:paraId="2A2EB764" w14:textId="77777777" w:rsidR="0066120A" w:rsidRDefault="00C15084">
      <w:pPr>
        <w:rPr>
          <w:rFonts w:ascii="Times New Roman" w:hAnsi="Times New Roman"/>
          <w:sz w:val="32"/>
          <w:szCs w:val="24"/>
        </w:rPr>
      </w:pPr>
      <w:r>
        <w:rPr>
          <w:rFonts w:ascii="Times New Roman" w:hAnsi="Times New Roman"/>
          <w:sz w:val="32"/>
          <w:szCs w:val="24"/>
        </w:rPr>
        <w:t>To take on the loss of the prisoner, to be transformed by it, and to prevent its reoccurrence, the conditions that lay the groundwork for the loss must be addr</w:t>
      </w:r>
      <w:r>
        <w:rPr>
          <w:rFonts w:ascii="Times New Roman" w:hAnsi="Times New Roman"/>
          <w:sz w:val="32"/>
          <w:szCs w:val="24"/>
        </w:rPr>
        <w:t>essed. If the social conditions of imprisonment are inherently dehumanising and preventable deaths are inevitable, then the problem that must be addressed is the prison itself. As long as the prison remains, it will be a factory of misery and death. To mou</w:t>
      </w:r>
      <w:r>
        <w:rPr>
          <w:rFonts w:ascii="Times New Roman" w:hAnsi="Times New Roman"/>
          <w:sz w:val="32"/>
          <w:szCs w:val="24"/>
        </w:rPr>
        <w:t>rn the death of the prisoner, we must undo the structures that kill them. We must abolish the prison.</w:t>
      </w:r>
    </w:p>
    <w:p w14:paraId="5D3E3EA9" w14:textId="5E3B85F4" w:rsidR="0066120A" w:rsidRDefault="00C15084">
      <w:pPr>
        <w:rPr>
          <w:rFonts w:ascii="Times New Roman" w:hAnsi="Times New Roman"/>
          <w:sz w:val="24"/>
          <w:szCs w:val="24"/>
        </w:rPr>
      </w:pPr>
      <w:r>
        <w:rPr>
          <w:rFonts w:ascii="Times New Roman" w:hAnsi="Times New Roman"/>
          <w:sz w:val="32"/>
          <w:szCs w:val="24"/>
        </w:rPr>
        <w:t xml:space="preserve">However, prison abolition is not enough. The death of the prisoner is so intrinsic to this social system of simultaneous abundance, obscene </w:t>
      </w:r>
      <w:r>
        <w:rPr>
          <w:rFonts w:ascii="Times New Roman" w:hAnsi="Times New Roman"/>
          <w:sz w:val="32"/>
          <w:szCs w:val="24"/>
        </w:rPr>
        <w:t>wealth, immiseration, and dispossession that the death cannot be mourned within a system that necessitates it. The prison itself is so necessary to the capitalist mode of production that it cannot be abolished without a movement beyond settler-colonial cap</w:t>
      </w:r>
      <w:r>
        <w:rPr>
          <w:rFonts w:ascii="Times New Roman" w:hAnsi="Times New Roman"/>
          <w:sz w:val="32"/>
          <w:szCs w:val="24"/>
        </w:rPr>
        <w:t>italism. In this sense, we cannot mourn the death of the prisoner as long as we produce social conditions that enable it. However, these social conditions will only exist as long as we continue to reproduce them. If we choose to, we can, in time, mourn the</w:t>
      </w:r>
      <w:r>
        <w:rPr>
          <w:rFonts w:ascii="Times New Roman" w:hAnsi="Times New Roman"/>
          <w:sz w:val="32"/>
          <w:szCs w:val="24"/>
        </w:rPr>
        <w:t xml:space="preserve"> death of the prisoner.</w:t>
      </w:r>
    </w:p>
    <w:sectPr w:rsidR="00661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478EC"/>
    <w:multiLevelType w:val="hybridMultilevel"/>
    <w:tmpl w:val="068EB9D2"/>
    <w:lvl w:ilvl="0" w:tplc="65701328">
      <w:start w:val="1"/>
      <w:numFmt w:val="bullet"/>
      <w:lvlText w:val=""/>
      <w:lvlJc w:val="left"/>
      <w:pPr>
        <w:ind w:left="720" w:hanging="360"/>
      </w:pPr>
      <w:rPr>
        <w:rFonts w:ascii="Symbol" w:hAnsi="Symbol"/>
      </w:rPr>
    </w:lvl>
    <w:lvl w:ilvl="1" w:tplc="291EF04E">
      <w:start w:val="1"/>
      <w:numFmt w:val="bullet"/>
      <w:lvlText w:val="o"/>
      <w:lvlJc w:val="left"/>
      <w:pPr>
        <w:ind w:left="1440" w:hanging="360"/>
      </w:pPr>
      <w:rPr>
        <w:rFonts w:ascii="Courier New" w:hAnsi="Courier New"/>
      </w:rPr>
    </w:lvl>
    <w:lvl w:ilvl="2" w:tplc="617EBCC2">
      <w:start w:val="1"/>
      <w:numFmt w:val="bullet"/>
      <w:lvlText w:val=""/>
      <w:lvlJc w:val="left"/>
      <w:pPr>
        <w:ind w:left="2160" w:hanging="360"/>
      </w:pPr>
      <w:rPr>
        <w:rFonts w:ascii="Wingdings" w:hAnsi="Wingdings"/>
      </w:rPr>
    </w:lvl>
    <w:lvl w:ilvl="3" w:tplc="CF385276">
      <w:start w:val="1"/>
      <w:numFmt w:val="bullet"/>
      <w:lvlText w:val=""/>
      <w:lvlJc w:val="left"/>
      <w:pPr>
        <w:ind w:left="2880" w:hanging="360"/>
      </w:pPr>
      <w:rPr>
        <w:rFonts w:ascii="Symbol" w:hAnsi="Symbol"/>
      </w:rPr>
    </w:lvl>
    <w:lvl w:ilvl="4" w:tplc="F5E845DC">
      <w:start w:val="1"/>
      <w:numFmt w:val="bullet"/>
      <w:lvlText w:val="o"/>
      <w:lvlJc w:val="left"/>
      <w:pPr>
        <w:ind w:left="3600" w:hanging="360"/>
      </w:pPr>
      <w:rPr>
        <w:rFonts w:ascii="Courier New" w:hAnsi="Courier New"/>
      </w:rPr>
    </w:lvl>
    <w:lvl w:ilvl="5" w:tplc="541E70A2">
      <w:start w:val="1"/>
      <w:numFmt w:val="bullet"/>
      <w:lvlText w:val=""/>
      <w:lvlJc w:val="left"/>
      <w:pPr>
        <w:ind w:left="4320" w:hanging="360"/>
      </w:pPr>
      <w:rPr>
        <w:rFonts w:ascii="Wingdings" w:hAnsi="Wingdings"/>
      </w:rPr>
    </w:lvl>
    <w:lvl w:ilvl="6" w:tplc="8702F92C">
      <w:start w:val="1"/>
      <w:numFmt w:val="bullet"/>
      <w:lvlText w:val=""/>
      <w:lvlJc w:val="left"/>
      <w:pPr>
        <w:ind w:left="5040" w:hanging="360"/>
      </w:pPr>
      <w:rPr>
        <w:rFonts w:ascii="Symbol" w:hAnsi="Symbol"/>
      </w:rPr>
    </w:lvl>
    <w:lvl w:ilvl="7" w:tplc="AE7C6C42">
      <w:start w:val="1"/>
      <w:numFmt w:val="bullet"/>
      <w:lvlText w:val="o"/>
      <w:lvlJc w:val="left"/>
      <w:pPr>
        <w:ind w:left="5760" w:hanging="360"/>
      </w:pPr>
      <w:rPr>
        <w:rFonts w:ascii="Courier New" w:hAnsi="Courier New"/>
      </w:rPr>
    </w:lvl>
    <w:lvl w:ilvl="8" w:tplc="784A5406">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C6"/>
    <w:rsid w:val="000569CB"/>
    <w:rsid w:val="00093674"/>
    <w:rsid w:val="000D5B5C"/>
    <w:rsid w:val="000E36B9"/>
    <w:rsid w:val="001E62D9"/>
    <w:rsid w:val="0020603A"/>
    <w:rsid w:val="00227915"/>
    <w:rsid w:val="002A7964"/>
    <w:rsid w:val="002C3471"/>
    <w:rsid w:val="002D4709"/>
    <w:rsid w:val="002D75BC"/>
    <w:rsid w:val="00324E31"/>
    <w:rsid w:val="00324F49"/>
    <w:rsid w:val="00325A55"/>
    <w:rsid w:val="00350EBB"/>
    <w:rsid w:val="00362DFF"/>
    <w:rsid w:val="00391330"/>
    <w:rsid w:val="003A6C70"/>
    <w:rsid w:val="003D3881"/>
    <w:rsid w:val="004072D7"/>
    <w:rsid w:val="004465A3"/>
    <w:rsid w:val="00467DC8"/>
    <w:rsid w:val="004D779A"/>
    <w:rsid w:val="004F4E4E"/>
    <w:rsid w:val="005016CA"/>
    <w:rsid w:val="005452B1"/>
    <w:rsid w:val="0055415B"/>
    <w:rsid w:val="00560D34"/>
    <w:rsid w:val="00570BA7"/>
    <w:rsid w:val="005A28C8"/>
    <w:rsid w:val="00624BC9"/>
    <w:rsid w:val="00643F9A"/>
    <w:rsid w:val="0066120A"/>
    <w:rsid w:val="00687963"/>
    <w:rsid w:val="00692820"/>
    <w:rsid w:val="00693D9A"/>
    <w:rsid w:val="006A0399"/>
    <w:rsid w:val="006F61A0"/>
    <w:rsid w:val="00785F8A"/>
    <w:rsid w:val="00797D1F"/>
    <w:rsid w:val="007A5CB6"/>
    <w:rsid w:val="007A5DC6"/>
    <w:rsid w:val="007C6E76"/>
    <w:rsid w:val="00827732"/>
    <w:rsid w:val="00831553"/>
    <w:rsid w:val="00883153"/>
    <w:rsid w:val="008B3C90"/>
    <w:rsid w:val="008E5A68"/>
    <w:rsid w:val="008F19A2"/>
    <w:rsid w:val="00972F02"/>
    <w:rsid w:val="00981A85"/>
    <w:rsid w:val="009C74AE"/>
    <w:rsid w:val="009D35CB"/>
    <w:rsid w:val="009F53C5"/>
    <w:rsid w:val="009F773A"/>
    <w:rsid w:val="00A4226E"/>
    <w:rsid w:val="00AA67B9"/>
    <w:rsid w:val="00AC2939"/>
    <w:rsid w:val="00AD0F43"/>
    <w:rsid w:val="00AD3C47"/>
    <w:rsid w:val="00AF7689"/>
    <w:rsid w:val="00AF7C9A"/>
    <w:rsid w:val="00B14AFA"/>
    <w:rsid w:val="00B63534"/>
    <w:rsid w:val="00BE3D6E"/>
    <w:rsid w:val="00BF4FED"/>
    <w:rsid w:val="00C001E9"/>
    <w:rsid w:val="00C062C1"/>
    <w:rsid w:val="00C15084"/>
    <w:rsid w:val="00C37DAD"/>
    <w:rsid w:val="00C60E41"/>
    <w:rsid w:val="00CF418A"/>
    <w:rsid w:val="00D24D11"/>
    <w:rsid w:val="00D34EE4"/>
    <w:rsid w:val="00D63C74"/>
    <w:rsid w:val="00D660FE"/>
    <w:rsid w:val="00D754C1"/>
    <w:rsid w:val="00DC4E0D"/>
    <w:rsid w:val="00DF07B3"/>
    <w:rsid w:val="00DF11BA"/>
    <w:rsid w:val="00E00A61"/>
    <w:rsid w:val="00E45A85"/>
    <w:rsid w:val="00E749A6"/>
    <w:rsid w:val="00E90017"/>
    <w:rsid w:val="00E9463D"/>
    <w:rsid w:val="00EA00DF"/>
    <w:rsid w:val="00EB41E1"/>
    <w:rsid w:val="00EF59F8"/>
    <w:rsid w:val="00F34141"/>
    <w:rsid w:val="00F348A7"/>
    <w:rsid w:val="00F42529"/>
    <w:rsid w:val="00F46090"/>
    <w:rsid w:val="00F9167A"/>
    <w:rsid w:val="00FC7B5D"/>
    <w:rsid w:val="00FD5001"/>
    <w:rsid w:val="00FD6653"/>
    <w:rsid w:val="00FD6CB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DBA5"/>
  <w15:docId w15:val="{374A33E2-CA1F-41D8-868F-DD63C27B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9</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Lamusse</dc:creator>
  <cp:keywords/>
  <dc:description/>
  <cp:lastModifiedBy>Ti Lamusse</cp:lastModifiedBy>
  <cp:revision>4</cp:revision>
  <dcterms:created xsi:type="dcterms:W3CDTF">2018-12-05T20:59:00Z</dcterms:created>
  <dcterms:modified xsi:type="dcterms:W3CDTF">2021-10-05T23:11:00Z</dcterms:modified>
</cp:coreProperties>
</file>