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FD545" w14:textId="4589080E" w:rsidR="00740FA5" w:rsidRPr="00740FA5" w:rsidRDefault="00740FA5" w:rsidP="00740FA5">
      <w:pPr>
        <w:pStyle w:val="fulltitle"/>
        <w:spacing w:before="0" w:after="0"/>
        <w:rPr>
          <w:rFonts w:ascii="Times New Roman" w:hAnsi="Times New Roman"/>
          <w:color w:val="auto"/>
        </w:rPr>
      </w:pPr>
      <w:r w:rsidRPr="00740FA5">
        <w:rPr>
          <w:rFonts w:ascii="Times New Roman" w:hAnsi="Times New Roman"/>
          <w:color w:val="auto"/>
        </w:rPr>
        <w:t>I</w:t>
      </w:r>
      <w:r>
        <w:rPr>
          <w:rFonts w:ascii="Times New Roman" w:hAnsi="Times New Roman"/>
          <w:color w:val="auto"/>
          <w:lang w:val="mi-NZ"/>
        </w:rPr>
        <w:t>MPLICATIONS OF THE PANDEMIC</w:t>
      </w:r>
      <w:r w:rsidRPr="00740FA5">
        <w:rPr>
          <w:rFonts w:ascii="Times New Roman" w:hAnsi="Times New Roman"/>
          <w:color w:val="auto"/>
        </w:rPr>
        <w:t xml:space="preserve">: </w:t>
      </w:r>
    </w:p>
    <w:p w14:paraId="5371B5C6" w14:textId="28E7A4FF" w:rsidR="00A507D6" w:rsidRDefault="00740FA5" w:rsidP="00740FA5">
      <w:pPr>
        <w:pStyle w:val="fulltitle"/>
        <w:spacing w:before="0" w:after="0"/>
        <w:rPr>
          <w:lang w:val="en-US"/>
        </w:rPr>
      </w:pPr>
      <w:r w:rsidRPr="00740FA5">
        <w:rPr>
          <w:rFonts w:ascii="Times New Roman" w:hAnsi="Times New Roman"/>
          <w:color w:val="auto"/>
          <w:lang w:val="en-US"/>
        </w:rPr>
        <w:t>T</w:t>
      </w:r>
      <w:r>
        <w:rPr>
          <w:rFonts w:ascii="Times New Roman" w:hAnsi="Times New Roman"/>
          <w:color w:val="auto"/>
          <w:lang w:val="en-US"/>
        </w:rPr>
        <w:t>HE CASE OF EDUCATION IN AOTEAROA NEW ZEALND</w:t>
      </w:r>
    </w:p>
    <w:p w14:paraId="4C57572D" w14:textId="77777777" w:rsidR="00A507D6" w:rsidRDefault="00A507D6" w:rsidP="00A507D6">
      <w:pPr>
        <w:pStyle w:val="fullauthor"/>
        <w:rPr>
          <w:sz w:val="20"/>
          <w:szCs w:val="20"/>
        </w:rPr>
      </w:pPr>
    </w:p>
    <w:p w14:paraId="4DB848EA" w14:textId="5C07FE0B" w:rsidR="00A507D6" w:rsidRDefault="00740FA5" w:rsidP="00A507D6">
      <w:pPr>
        <w:pStyle w:val="fullauthor"/>
        <w:rPr>
          <w:sz w:val="20"/>
          <w:szCs w:val="20"/>
        </w:rPr>
      </w:pPr>
      <w:r>
        <w:rPr>
          <w:sz w:val="20"/>
          <w:szCs w:val="20"/>
          <w:lang w:val="mi-NZ"/>
        </w:rPr>
        <w:t>Dr M</w:t>
      </w:r>
      <w:r>
        <w:rPr>
          <w:sz w:val="20"/>
          <w:szCs w:val="20"/>
          <w:lang w:val="en-US"/>
        </w:rPr>
        <w:t>argaret Gleeson &amp; Dr Gillian Hubbard</w:t>
      </w:r>
      <w:r w:rsidR="00A507D6">
        <w:rPr>
          <w:sz w:val="20"/>
          <w:szCs w:val="20"/>
        </w:rPr>
        <w:t>.</w:t>
      </w:r>
    </w:p>
    <w:p w14:paraId="31D2249B" w14:textId="2BD9EA49" w:rsidR="00A507D6" w:rsidRDefault="00740FA5" w:rsidP="00A507D6">
      <w:pPr>
        <w:pStyle w:val="fulldept"/>
        <w:rPr>
          <w:vertAlign w:val="baseline"/>
        </w:rPr>
      </w:pPr>
      <w:r>
        <w:rPr>
          <w:vertAlign w:val="baseline"/>
          <w:lang w:val="en-NZ"/>
        </w:rPr>
        <w:t>Victoria University of Wellington, New Zealand</w:t>
      </w:r>
    </w:p>
    <w:p w14:paraId="65D321DA" w14:textId="13AE6C02" w:rsidR="00A507D6" w:rsidRDefault="00740FA5" w:rsidP="00A507D6">
      <w:pPr>
        <w:pStyle w:val="fulldept"/>
        <w:rPr>
          <w:vertAlign w:val="baseline"/>
        </w:rPr>
      </w:pPr>
      <w:r>
        <w:rPr>
          <w:vertAlign w:val="baseline"/>
          <w:lang w:val="en-NZ"/>
        </w:rPr>
        <w:t>Margaret.gleeson@vuw.ac.nz</w:t>
      </w:r>
    </w:p>
    <w:p w14:paraId="308261E5" w14:textId="77777777" w:rsidR="00A507D6" w:rsidRDefault="00A507D6" w:rsidP="00A507D6">
      <w:pPr>
        <w:spacing w:line="240" w:lineRule="auto"/>
        <w:ind w:left="851"/>
        <w:rPr>
          <w:rFonts w:ascii="Times New Roman" w:hAnsi="Times New Roman" w:cs="Times New Roman" w:hint="default"/>
          <w:sz w:val="20"/>
          <w:szCs w:val="20"/>
          <w:lang w:val="id-ID"/>
        </w:rPr>
      </w:pPr>
    </w:p>
    <w:p w14:paraId="14F26363" w14:textId="77777777" w:rsidR="00A507D6" w:rsidRDefault="00A507D6" w:rsidP="00A507D6">
      <w:pPr>
        <w:pStyle w:val="fullTitleAbtract"/>
        <w:rPr>
          <w:sz w:val="20"/>
          <w:szCs w:val="20"/>
        </w:rPr>
      </w:pPr>
      <w:r>
        <w:rPr>
          <w:sz w:val="20"/>
          <w:szCs w:val="20"/>
        </w:rPr>
        <w:t>Abstract</w:t>
      </w:r>
    </w:p>
    <w:p w14:paraId="4FE07DEF" w14:textId="7D86DA01" w:rsidR="00A507D6" w:rsidRDefault="003B34BB" w:rsidP="00A507D6">
      <w:pPr>
        <w:pStyle w:val="fullabstract"/>
        <w:rPr>
          <w:lang w:val="en-US"/>
        </w:rPr>
      </w:pPr>
      <w:r w:rsidRPr="003B34BB">
        <w:rPr>
          <w:lang w:val="en-US"/>
        </w:rPr>
        <w:t xml:space="preserve">Covid-19 has surfaced </w:t>
      </w:r>
      <w:r>
        <w:rPr>
          <w:lang w:val="en-US"/>
        </w:rPr>
        <w:t xml:space="preserve">a number of educational issues </w:t>
      </w:r>
      <w:r w:rsidRPr="003B34BB">
        <w:rPr>
          <w:lang w:val="en-US"/>
        </w:rPr>
        <w:t xml:space="preserve">in New Zealand schools and universities. </w:t>
      </w:r>
      <w:r>
        <w:rPr>
          <w:lang w:val="en-US"/>
        </w:rPr>
        <w:t>M</w:t>
      </w:r>
      <w:r w:rsidRPr="003B34BB">
        <w:rPr>
          <w:lang w:val="en-US"/>
        </w:rPr>
        <w:t>any schools and universities were able to move all teaching online with</w:t>
      </w:r>
      <w:r>
        <w:rPr>
          <w:lang w:val="en-US"/>
        </w:rPr>
        <w:t>in a short time. However,</w:t>
      </w:r>
      <w:r w:rsidRPr="003B34BB">
        <w:rPr>
          <w:lang w:val="en-US"/>
        </w:rPr>
        <w:t xml:space="preserve"> this flexibility was not shared by all educational institutions, or all students. Students from vulnerable communities did not enjoy the same access to learning as those from more affluent schools. The mental and emotional health of many learners, their families and teachers suffered </w:t>
      </w:r>
      <w:r>
        <w:rPr>
          <w:lang w:val="en-US"/>
        </w:rPr>
        <w:t xml:space="preserve">from feelings of </w:t>
      </w:r>
      <w:r w:rsidRPr="003B34BB">
        <w:rPr>
          <w:lang w:val="en-US"/>
        </w:rPr>
        <w:t xml:space="preserve">isolation. </w:t>
      </w:r>
      <w:r>
        <w:rPr>
          <w:lang w:val="en-US"/>
        </w:rPr>
        <w:t>When the national</w:t>
      </w:r>
      <w:r w:rsidRPr="003B34BB">
        <w:rPr>
          <w:lang w:val="en-US"/>
        </w:rPr>
        <w:t xml:space="preserve"> borders closed to international students, departments set up to support their academic language learning have closed. This </w:t>
      </w:r>
      <w:r>
        <w:rPr>
          <w:lang w:val="en-US"/>
        </w:rPr>
        <w:t>leaves</w:t>
      </w:r>
      <w:r w:rsidRPr="003B34BB">
        <w:rPr>
          <w:lang w:val="en-US"/>
        </w:rPr>
        <w:t xml:space="preserve"> emergent bilinguals without the linguistic </w:t>
      </w:r>
      <w:r>
        <w:rPr>
          <w:lang w:val="en-US"/>
        </w:rPr>
        <w:t>support</w:t>
      </w:r>
      <w:r w:rsidRPr="003B34BB">
        <w:rPr>
          <w:lang w:val="en-US"/>
        </w:rPr>
        <w:t xml:space="preserve"> promised in the New Zealand Curriculum. This in turn endangers the academic success of another vulnerable community</w:t>
      </w:r>
      <w:r w:rsidR="004E0A80">
        <w:rPr>
          <w:lang w:val="en-US"/>
        </w:rPr>
        <w:t>.</w:t>
      </w:r>
    </w:p>
    <w:p w14:paraId="39664DED" w14:textId="77777777" w:rsidR="004E0A80" w:rsidRDefault="004E0A80" w:rsidP="00A507D6">
      <w:pPr>
        <w:pStyle w:val="fullabstract"/>
      </w:pPr>
    </w:p>
    <w:p w14:paraId="724C172F" w14:textId="0A0095CF" w:rsidR="00A507D6" w:rsidRPr="004E0A80" w:rsidRDefault="00A507D6" w:rsidP="00A507D6">
      <w:pPr>
        <w:pStyle w:val="fullabstract"/>
        <w:rPr>
          <w:b/>
          <w:bCs/>
          <w:lang w:val="mi-NZ"/>
        </w:rPr>
      </w:pPr>
      <w:r>
        <w:rPr>
          <w:b/>
          <w:bCs/>
        </w:rPr>
        <w:t>Keywords</w:t>
      </w:r>
      <w:r>
        <w:rPr>
          <w:b/>
          <w:bCs/>
          <w:lang w:val="en-US"/>
        </w:rPr>
        <w:t xml:space="preserve">: </w:t>
      </w:r>
      <w:r w:rsidR="004E0A80">
        <w:rPr>
          <w:b/>
          <w:bCs/>
          <w:lang w:val="mi-NZ"/>
        </w:rPr>
        <w:t>digital technology; international students; English language learners; student well-being</w:t>
      </w:r>
    </w:p>
    <w:p w14:paraId="6C224C59" w14:textId="77777777" w:rsidR="00A507D6" w:rsidRDefault="00A507D6" w:rsidP="00A507D6">
      <w:pPr>
        <w:spacing w:line="240" w:lineRule="auto"/>
        <w:ind w:left="851"/>
        <w:jc w:val="both"/>
        <w:rPr>
          <w:rFonts w:ascii="Times New Roman" w:hAnsi="Times New Roman" w:cs="Times New Roman" w:hint="default"/>
          <w:sz w:val="24"/>
          <w:szCs w:val="24"/>
          <w:lang w:val="id-ID"/>
        </w:rPr>
      </w:pPr>
    </w:p>
    <w:p w14:paraId="7AD7F049" w14:textId="77777777" w:rsidR="00A507D6" w:rsidRDefault="00A507D6" w:rsidP="00A507D6">
      <w:pPr>
        <w:spacing w:line="240" w:lineRule="auto"/>
        <w:ind w:left="851"/>
        <w:jc w:val="both"/>
        <w:rPr>
          <w:rFonts w:ascii="Times New Roman" w:hAnsi="Times New Roman" w:cs="Times New Roman" w:hint="default"/>
          <w:b/>
          <w:sz w:val="24"/>
          <w:szCs w:val="24"/>
        </w:rPr>
      </w:pPr>
    </w:p>
    <w:p w14:paraId="492A0765" w14:textId="77777777" w:rsidR="00A507D6" w:rsidRDefault="00A507D6" w:rsidP="00A507D6">
      <w:pPr>
        <w:spacing w:line="240" w:lineRule="auto"/>
        <w:ind w:left="851"/>
        <w:jc w:val="both"/>
        <w:rPr>
          <w:rFonts w:ascii="Times New Roman" w:hAnsi="Times New Roman" w:cs="Times New Roman" w:hint="default"/>
          <w:b/>
          <w:sz w:val="24"/>
          <w:szCs w:val="24"/>
        </w:rPr>
        <w:sectPr w:rsidR="00A507D6">
          <w:footerReference w:type="default" r:id="rId10"/>
          <w:pgSz w:w="12240" w:h="15840"/>
          <w:pgMar w:top="1440" w:right="1440" w:bottom="1440" w:left="1440" w:header="720" w:footer="720" w:gutter="0"/>
          <w:cols w:space="720"/>
          <w:docGrid w:linePitch="360"/>
        </w:sectPr>
      </w:pPr>
    </w:p>
    <w:p w14:paraId="6C6A96AA" w14:textId="31D3687D" w:rsidR="00A507D6" w:rsidRDefault="00A507D6" w:rsidP="00A507D6">
      <w:pPr>
        <w:pStyle w:val="fullTitleContent"/>
        <w:rPr>
          <w:lang w:val="en-US"/>
        </w:rPr>
      </w:pPr>
      <w:r>
        <w:t>INTRODUCTION</w:t>
      </w:r>
      <w:r>
        <w:rPr>
          <w:lang w:val="en-US"/>
        </w:rPr>
        <w:t xml:space="preserve"> </w:t>
      </w:r>
    </w:p>
    <w:p w14:paraId="1C80C895" w14:textId="58E99348" w:rsidR="00145CAD" w:rsidRPr="00145CAD" w:rsidRDefault="00145CAD" w:rsidP="00145CAD">
      <w:pPr>
        <w:pStyle w:val="fullTitleContent"/>
        <w:rPr>
          <w:b w:val="0"/>
          <w:bCs/>
          <w:lang w:val="en-US"/>
        </w:rPr>
      </w:pPr>
      <w:r>
        <w:rPr>
          <w:b w:val="0"/>
          <w:bCs/>
          <w:lang w:val="en-US"/>
        </w:rPr>
        <w:t xml:space="preserve">This conceptual paper explores the impact of Covid-19 on aspects of education in Aotearoa-New Zealand. Specifically, we will report on how New Zealand schools and universities have responded to the urgent need to move classes online, the growing concern for </w:t>
      </w:r>
      <w:r w:rsidRPr="00145CAD">
        <w:rPr>
          <w:b w:val="0"/>
          <w:bCs/>
          <w:lang w:val="en-US"/>
        </w:rPr>
        <w:t>student</w:t>
      </w:r>
      <w:r>
        <w:rPr>
          <w:b w:val="0"/>
          <w:bCs/>
          <w:lang w:val="en-US"/>
        </w:rPr>
        <w:t>s’</w:t>
      </w:r>
      <w:r w:rsidRPr="00145CAD">
        <w:rPr>
          <w:b w:val="0"/>
          <w:bCs/>
          <w:lang w:val="en-US"/>
        </w:rPr>
        <w:t xml:space="preserve"> well-being</w:t>
      </w:r>
      <w:r>
        <w:rPr>
          <w:b w:val="0"/>
          <w:bCs/>
          <w:lang w:val="en-US"/>
        </w:rPr>
        <w:t xml:space="preserve">, the flow-on effect of closing our borders to international students, and finally the reduced ability of teachers to support learners from non-English language backgrounds. We draw on literature to suggest that these issues are likely to influence New Zealand education for many years to come. </w:t>
      </w:r>
    </w:p>
    <w:p w14:paraId="6C5E4AFC" w14:textId="77777777" w:rsidR="00145CAD" w:rsidRDefault="00145CAD" w:rsidP="00A507D6">
      <w:pPr>
        <w:pStyle w:val="fullContent"/>
        <w:spacing w:after="0"/>
        <w:rPr>
          <w:lang w:val="en-US"/>
        </w:rPr>
      </w:pPr>
    </w:p>
    <w:p w14:paraId="5F090674" w14:textId="4759E7CB" w:rsidR="00A507D6" w:rsidRDefault="00835925" w:rsidP="00A507D6">
      <w:pPr>
        <w:pStyle w:val="fullTitleContent"/>
        <w:rPr>
          <w:lang w:val="en-US"/>
        </w:rPr>
      </w:pPr>
      <w:r>
        <w:rPr>
          <w:bCs/>
          <w:lang w:val="en-US"/>
        </w:rPr>
        <w:t>INCREASING USE OF ONLINE TEACHING PLATFORMS</w:t>
      </w:r>
    </w:p>
    <w:p w14:paraId="4B51951E" w14:textId="77777777" w:rsidR="005809E7" w:rsidRDefault="001A681F" w:rsidP="00A507D6">
      <w:pPr>
        <w:pStyle w:val="fullContent"/>
        <w:spacing w:after="0"/>
        <w:rPr>
          <w:lang w:val="en-US"/>
        </w:rPr>
      </w:pPr>
      <w:r>
        <w:rPr>
          <w:lang w:val="en-US"/>
        </w:rPr>
        <w:t>Even before the global pandemic, there was an exponential rise in the use of digital technologies in schools and universities</w:t>
      </w:r>
      <w:r w:rsidR="00F43A8C">
        <w:rPr>
          <w:lang w:val="en-US"/>
        </w:rPr>
        <w:t>. This has meant that tea</w:t>
      </w:r>
      <w:r w:rsidR="00E817E4">
        <w:rPr>
          <w:lang w:val="en-US"/>
        </w:rPr>
        <w:t>chers w</w:t>
      </w:r>
      <w:r w:rsidR="00C372C6">
        <w:rPr>
          <w:lang w:val="en-US"/>
        </w:rPr>
        <w:t>ere</w:t>
      </w:r>
      <w:r w:rsidR="00E817E4">
        <w:rPr>
          <w:lang w:val="en-US"/>
        </w:rPr>
        <w:t xml:space="preserve"> already working to</w:t>
      </w:r>
      <w:r w:rsidR="00F43A8C">
        <w:rPr>
          <w:lang w:val="en-US"/>
        </w:rPr>
        <w:t xml:space="preserve"> </w:t>
      </w:r>
      <w:r w:rsidR="00E817E4">
        <w:rPr>
          <w:lang w:val="en-US"/>
        </w:rPr>
        <w:t>develop appropriate and sufficiently flexible skills</w:t>
      </w:r>
      <w:r w:rsidR="00F43A8C">
        <w:rPr>
          <w:lang w:val="en-US"/>
        </w:rPr>
        <w:t xml:space="preserve"> to keep abreast of these con</w:t>
      </w:r>
      <w:r w:rsidR="00C372C6">
        <w:rPr>
          <w:lang w:val="en-US"/>
        </w:rPr>
        <w:t>tinual</w:t>
      </w:r>
      <w:r w:rsidR="00F43A8C">
        <w:rPr>
          <w:lang w:val="en-US"/>
        </w:rPr>
        <w:t xml:space="preserve"> </w:t>
      </w:r>
      <w:r w:rsidR="00C372C6">
        <w:rPr>
          <w:lang w:val="en-US"/>
        </w:rPr>
        <w:t>innovations. E</w:t>
      </w:r>
      <w:r w:rsidR="00F43A8C">
        <w:rPr>
          <w:lang w:val="en-US"/>
        </w:rPr>
        <w:t>ducation has always been about preparing new teachers for an unimagin</w:t>
      </w:r>
      <w:r w:rsidR="00C372C6">
        <w:rPr>
          <w:lang w:val="en-US"/>
        </w:rPr>
        <w:t>able</w:t>
      </w:r>
      <w:r w:rsidR="00F43A8C">
        <w:rPr>
          <w:lang w:val="en-US"/>
        </w:rPr>
        <w:t xml:space="preserve"> future, but never more so than during these past fifteen to twenty years, when </w:t>
      </w:r>
      <w:r w:rsidR="005809E7">
        <w:rPr>
          <w:lang w:val="en-US"/>
        </w:rPr>
        <w:t xml:space="preserve">new </w:t>
      </w:r>
      <w:r w:rsidR="00F43A8C">
        <w:rPr>
          <w:lang w:val="en-US"/>
        </w:rPr>
        <w:t>digital tools appear almost daily.</w:t>
      </w:r>
      <w:r w:rsidR="00A71AC0">
        <w:rPr>
          <w:lang w:val="en-US"/>
        </w:rPr>
        <w:t xml:space="preserve"> </w:t>
      </w:r>
      <w:r w:rsidR="00E817E4">
        <w:rPr>
          <w:lang w:val="en-US"/>
        </w:rPr>
        <w:t>The pandemic accelerated t</w:t>
      </w:r>
      <w:r w:rsidR="005809E7">
        <w:rPr>
          <w:lang w:val="en-US"/>
        </w:rPr>
        <w:t>echnological change</w:t>
      </w:r>
      <w:r w:rsidR="00E817E4">
        <w:rPr>
          <w:lang w:val="en-US"/>
        </w:rPr>
        <w:t xml:space="preserve"> to new </w:t>
      </w:r>
      <w:r w:rsidR="005809E7">
        <w:rPr>
          <w:lang w:val="en-US"/>
        </w:rPr>
        <w:t>heights</w:t>
      </w:r>
      <w:r w:rsidR="00E817E4">
        <w:rPr>
          <w:lang w:val="en-US"/>
        </w:rPr>
        <w:t xml:space="preserve"> as schools and universities were expected to set up learning that was fully online within weeks. </w:t>
      </w:r>
    </w:p>
    <w:p w14:paraId="12CECB4C" w14:textId="19CADB04" w:rsidR="00F43A8C" w:rsidRDefault="00A71AC0" w:rsidP="00A507D6">
      <w:pPr>
        <w:pStyle w:val="fullContent"/>
        <w:spacing w:after="0"/>
        <w:rPr>
          <w:lang w:val="en-US"/>
        </w:rPr>
      </w:pPr>
      <w:r>
        <w:rPr>
          <w:lang w:val="en-US"/>
        </w:rPr>
        <w:t xml:space="preserve">Research suggests that </w:t>
      </w:r>
      <w:r w:rsidR="00E817E4">
        <w:rPr>
          <w:lang w:val="en-US"/>
        </w:rPr>
        <w:t xml:space="preserve">both teachers and school systems have </w:t>
      </w:r>
      <w:r w:rsidR="00AE4018">
        <w:rPr>
          <w:lang w:val="en-US"/>
        </w:rPr>
        <w:t xml:space="preserve">both </w:t>
      </w:r>
      <w:r w:rsidR="00E817E4">
        <w:rPr>
          <w:lang w:val="en-US"/>
        </w:rPr>
        <w:t>wi</w:t>
      </w:r>
      <w:r w:rsidR="00AE4018">
        <w:rPr>
          <w:lang w:val="en-US"/>
        </w:rPr>
        <w:t xml:space="preserve">dely varying digital skills and uneven </w:t>
      </w:r>
      <w:r w:rsidR="005809E7">
        <w:rPr>
          <w:lang w:val="en-US"/>
        </w:rPr>
        <w:t xml:space="preserve">access to a range of diverse digital </w:t>
      </w:r>
      <w:r w:rsidR="00E817E4">
        <w:rPr>
          <w:lang w:val="en-US"/>
        </w:rPr>
        <w:t>platforms</w:t>
      </w:r>
      <w:r>
        <w:rPr>
          <w:lang w:val="en-US"/>
        </w:rPr>
        <w:t xml:space="preserve"> (</w:t>
      </w:r>
      <w:r w:rsidR="005C0E5F">
        <w:t xml:space="preserve">König, </w:t>
      </w:r>
      <w:r w:rsidR="005C0E5F" w:rsidRPr="00346AC4">
        <w:rPr>
          <w:lang w:val="en-US"/>
        </w:rPr>
        <w:t>Jäger-Biela</w:t>
      </w:r>
      <w:r w:rsidR="005C0E5F">
        <w:t xml:space="preserve">, </w:t>
      </w:r>
      <w:r w:rsidR="005C0E5F" w:rsidRPr="00346AC4">
        <w:rPr>
          <w:lang w:val="en-US"/>
        </w:rPr>
        <w:t>&amp; Glutsch</w:t>
      </w:r>
      <w:r w:rsidR="005C0E5F">
        <w:t xml:space="preserve">, </w:t>
      </w:r>
      <w:r w:rsidR="005C0E5F">
        <w:rPr>
          <w:lang w:val="en-US"/>
        </w:rPr>
        <w:t xml:space="preserve">2020; </w:t>
      </w:r>
      <w:r>
        <w:rPr>
          <w:lang w:val="en-US"/>
        </w:rPr>
        <w:t xml:space="preserve">Starkey, 2020). </w:t>
      </w:r>
      <w:r w:rsidR="00E817E4">
        <w:rPr>
          <w:lang w:val="en-US"/>
        </w:rPr>
        <w:t xml:space="preserve">This meant that </w:t>
      </w:r>
      <w:r w:rsidR="005809E7">
        <w:rPr>
          <w:lang w:val="en-US"/>
        </w:rPr>
        <w:t>New Zealand schools</w:t>
      </w:r>
      <w:r w:rsidR="00E817E4">
        <w:rPr>
          <w:lang w:val="en-US"/>
        </w:rPr>
        <w:t xml:space="preserve"> were prepared for this drama</w:t>
      </w:r>
      <w:r w:rsidR="005809E7">
        <w:rPr>
          <w:lang w:val="en-US"/>
        </w:rPr>
        <w:t>tic change to varying degrees. Australasian e</w:t>
      </w:r>
      <w:r w:rsidR="00E817E4">
        <w:rPr>
          <w:lang w:val="en-US"/>
        </w:rPr>
        <w:t xml:space="preserve">ducators </w:t>
      </w:r>
      <w:r w:rsidR="005809E7">
        <w:rPr>
          <w:lang w:val="en-US"/>
        </w:rPr>
        <w:t xml:space="preserve">reported </w:t>
      </w:r>
      <w:r w:rsidR="00E817E4">
        <w:rPr>
          <w:lang w:val="en-US"/>
        </w:rPr>
        <w:t>concern</w:t>
      </w:r>
      <w:r w:rsidR="005809E7">
        <w:rPr>
          <w:lang w:val="en-US"/>
        </w:rPr>
        <w:t>s</w:t>
      </w:r>
      <w:r w:rsidR="00E817E4">
        <w:rPr>
          <w:lang w:val="en-US"/>
        </w:rPr>
        <w:t xml:space="preserve"> about </w:t>
      </w:r>
      <w:r w:rsidR="0098551D">
        <w:rPr>
          <w:lang w:val="en-US"/>
        </w:rPr>
        <w:t>the</w:t>
      </w:r>
      <w:r w:rsidR="005809E7">
        <w:rPr>
          <w:lang w:val="en-US"/>
        </w:rPr>
        <w:t>ir ability to</w:t>
      </w:r>
      <w:r w:rsidR="0098551D">
        <w:rPr>
          <w:lang w:val="en-US"/>
        </w:rPr>
        <w:t xml:space="preserve"> </w:t>
      </w:r>
      <w:r w:rsidR="005809E7">
        <w:rPr>
          <w:lang w:val="en-US"/>
        </w:rPr>
        <w:t xml:space="preserve">suddenly </w:t>
      </w:r>
      <w:r w:rsidR="0098551D">
        <w:rPr>
          <w:lang w:val="en-US"/>
        </w:rPr>
        <w:t>deliver an online curriculum</w:t>
      </w:r>
      <w:r w:rsidR="005809E7">
        <w:rPr>
          <w:lang w:val="en-US"/>
        </w:rPr>
        <w:t>. They also remarked on the</w:t>
      </w:r>
      <w:r w:rsidR="0098551D">
        <w:rPr>
          <w:lang w:val="en-US"/>
        </w:rPr>
        <w:t xml:space="preserve"> </w:t>
      </w:r>
      <w:r w:rsidR="00E817E4">
        <w:rPr>
          <w:lang w:val="en-US"/>
        </w:rPr>
        <w:t>inequit</w:t>
      </w:r>
      <w:r w:rsidR="005809E7">
        <w:rPr>
          <w:lang w:val="en-US"/>
        </w:rPr>
        <w:t xml:space="preserve">able </w:t>
      </w:r>
      <w:r w:rsidR="00E817E4">
        <w:rPr>
          <w:lang w:val="en-US"/>
        </w:rPr>
        <w:t>access to technolog</w:t>
      </w:r>
      <w:r w:rsidR="005809E7">
        <w:rPr>
          <w:lang w:val="en-US"/>
        </w:rPr>
        <w:t>ical tools</w:t>
      </w:r>
      <w:r w:rsidR="00E817E4">
        <w:rPr>
          <w:lang w:val="en-US"/>
        </w:rPr>
        <w:t xml:space="preserve"> and</w:t>
      </w:r>
      <w:r w:rsidR="005809E7">
        <w:rPr>
          <w:lang w:val="en-US"/>
        </w:rPr>
        <w:t>/or</w:t>
      </w:r>
      <w:r w:rsidR="00E817E4">
        <w:rPr>
          <w:lang w:val="en-US"/>
        </w:rPr>
        <w:t xml:space="preserve"> reliable internet connections for th</w:t>
      </w:r>
      <w:r w:rsidR="005809E7">
        <w:rPr>
          <w:lang w:val="en-US"/>
        </w:rPr>
        <w:t xml:space="preserve">eir students </w:t>
      </w:r>
      <w:r w:rsidR="00E817E4">
        <w:rPr>
          <w:lang w:val="en-US"/>
        </w:rPr>
        <w:t xml:space="preserve">in rural or lower socio-economic areas </w:t>
      </w:r>
      <w:r w:rsidR="0098551D">
        <w:rPr>
          <w:lang w:val="en-US"/>
        </w:rPr>
        <w:t>(</w:t>
      </w:r>
      <w:r w:rsidR="0098551D">
        <w:rPr>
          <w:lang w:val="en-NZ"/>
        </w:rPr>
        <w:t xml:space="preserve">Flack, </w:t>
      </w:r>
      <w:r w:rsidR="0098551D" w:rsidRPr="00E817E4">
        <w:rPr>
          <w:lang w:val="en-NZ"/>
        </w:rPr>
        <w:t>Walker, Bickerstaff, Earle, &amp; Margetts</w:t>
      </w:r>
      <w:r w:rsidR="0098551D">
        <w:rPr>
          <w:lang w:val="en-NZ"/>
        </w:rPr>
        <w:t xml:space="preserve">, </w:t>
      </w:r>
      <w:r w:rsidR="0098551D" w:rsidRPr="00E817E4">
        <w:rPr>
          <w:lang w:val="en-NZ"/>
        </w:rPr>
        <w:t>2020)</w:t>
      </w:r>
      <w:r w:rsidR="00AE4018">
        <w:rPr>
          <w:lang w:val="en-NZ"/>
        </w:rPr>
        <w:t>- which is something that is still causing concern in 2021</w:t>
      </w:r>
      <w:r w:rsidR="0098551D">
        <w:rPr>
          <w:lang w:val="en-NZ"/>
        </w:rPr>
        <w:t xml:space="preserve">. Furthermore, at the beginning of the lock-down period, almost half the educators in Flack et al.’s study </w:t>
      </w:r>
      <w:r w:rsidR="005809E7">
        <w:rPr>
          <w:lang w:val="en-NZ"/>
        </w:rPr>
        <w:t xml:space="preserve">harboured </w:t>
      </w:r>
      <w:r w:rsidR="0098551D">
        <w:rPr>
          <w:lang w:val="en-NZ"/>
        </w:rPr>
        <w:t>doubt</w:t>
      </w:r>
      <w:r w:rsidR="005809E7">
        <w:rPr>
          <w:lang w:val="en-NZ"/>
        </w:rPr>
        <w:t>s</w:t>
      </w:r>
      <w:r w:rsidR="0098551D">
        <w:rPr>
          <w:lang w:val="en-NZ"/>
        </w:rPr>
        <w:t xml:space="preserve"> that online learning had the potential to be as effective as learning in the classroom, and worried that they would not be able to meet </w:t>
      </w:r>
      <w:r w:rsidR="005809E7">
        <w:rPr>
          <w:lang w:val="en-NZ"/>
        </w:rPr>
        <w:t xml:space="preserve">their </w:t>
      </w:r>
      <w:r w:rsidR="0098551D">
        <w:rPr>
          <w:lang w:val="en-NZ"/>
        </w:rPr>
        <w:t>student</w:t>
      </w:r>
      <w:r w:rsidR="005809E7">
        <w:rPr>
          <w:lang w:val="en-NZ"/>
        </w:rPr>
        <w:t>s’</w:t>
      </w:r>
      <w:r w:rsidR="0098551D">
        <w:rPr>
          <w:lang w:val="en-NZ"/>
        </w:rPr>
        <w:t xml:space="preserve"> needs.</w:t>
      </w:r>
    </w:p>
    <w:p w14:paraId="22355372" w14:textId="717F8F87" w:rsidR="00835925" w:rsidRDefault="005809E7" w:rsidP="00A507D6">
      <w:pPr>
        <w:pStyle w:val="fullContent"/>
        <w:spacing w:after="0"/>
        <w:rPr>
          <w:lang w:val="en-US"/>
        </w:rPr>
      </w:pPr>
      <w:r>
        <w:rPr>
          <w:lang w:val="en-US"/>
        </w:rPr>
        <w:lastRenderedPageBreak/>
        <w:t>While many</w:t>
      </w:r>
      <w:r w:rsidR="009E3645">
        <w:rPr>
          <w:lang w:val="en-US"/>
        </w:rPr>
        <w:t xml:space="preserve"> teachers </w:t>
      </w:r>
      <w:r>
        <w:rPr>
          <w:lang w:val="en-US"/>
        </w:rPr>
        <w:t xml:space="preserve">in New Zealand schools and universities </w:t>
      </w:r>
      <w:r w:rsidR="009E3645">
        <w:rPr>
          <w:lang w:val="en-US"/>
        </w:rPr>
        <w:t xml:space="preserve">have been growing their expertise for integrating digital technology into their teaching, </w:t>
      </w:r>
      <w:r>
        <w:rPr>
          <w:lang w:val="en-US"/>
        </w:rPr>
        <w:t xml:space="preserve">and this includes encouraging students to use their cell-phones as a learning tool, </w:t>
      </w:r>
      <w:r w:rsidR="009E3645">
        <w:rPr>
          <w:lang w:val="en-US"/>
        </w:rPr>
        <w:t>schools and universities have been expanding their offerings of digital learning platforms. For example, many schools in th</w:t>
      </w:r>
      <w:r>
        <w:rPr>
          <w:lang w:val="en-US"/>
        </w:rPr>
        <w:t>e Wellington</w:t>
      </w:r>
      <w:r w:rsidR="009E3645">
        <w:rPr>
          <w:lang w:val="en-US"/>
        </w:rPr>
        <w:t xml:space="preserve"> region use Moodles, Google Classrooms or Microsoft Teams to communicate with their school communities. The university uses Blackboard as a teaching platform, Zoom and and Microsoft Teams for communication, and audio-visual software such as Zoom and Panopto for pre-recording or recording lectures and tutorials.</w:t>
      </w:r>
    </w:p>
    <w:p w14:paraId="4921B199" w14:textId="6D0F616E" w:rsidR="00DA14B7" w:rsidRDefault="009E3645" w:rsidP="00A507D6">
      <w:pPr>
        <w:pStyle w:val="fullContent"/>
        <w:spacing w:after="0"/>
        <w:rPr>
          <w:lang w:val="en-US"/>
        </w:rPr>
      </w:pPr>
      <w:r>
        <w:rPr>
          <w:lang w:val="en-US"/>
        </w:rPr>
        <w:t xml:space="preserve">This </w:t>
      </w:r>
      <w:r w:rsidR="005809E7">
        <w:rPr>
          <w:lang w:val="en-US"/>
        </w:rPr>
        <w:t xml:space="preserve">uneven set of digital skills and resources </w:t>
      </w:r>
      <w:r>
        <w:rPr>
          <w:lang w:val="en-US"/>
        </w:rPr>
        <w:t>was the technological scene when Covid-19 hit last year</w:t>
      </w:r>
      <w:r w:rsidR="005809E7">
        <w:rPr>
          <w:lang w:val="en-US"/>
        </w:rPr>
        <w:t xml:space="preserve"> (Yates et al., 2020)</w:t>
      </w:r>
      <w:r>
        <w:rPr>
          <w:lang w:val="en-US"/>
        </w:rPr>
        <w:t>. In many respects, the Faculty of Education was able to respond in an agile manner because we have delivered online versions of our programmes for more than fifteen years and already had the systems in place</w:t>
      </w:r>
      <w:r w:rsidR="00A64984">
        <w:rPr>
          <w:lang w:val="en-US"/>
        </w:rPr>
        <w:t>.</w:t>
      </w:r>
      <w:r>
        <w:rPr>
          <w:lang w:val="en-US"/>
        </w:rPr>
        <w:t xml:space="preserve"> </w:t>
      </w:r>
      <w:r w:rsidR="00A64984">
        <w:rPr>
          <w:lang w:val="en-US"/>
        </w:rPr>
        <w:t xml:space="preserve">We also had </w:t>
      </w:r>
      <w:r>
        <w:rPr>
          <w:lang w:val="en-US"/>
        </w:rPr>
        <w:t xml:space="preserve">many of the essential skills to move online very quickly. </w:t>
      </w:r>
      <w:r w:rsidR="00AE4018">
        <w:rPr>
          <w:lang w:val="en-US"/>
        </w:rPr>
        <w:t>A number</w:t>
      </w:r>
      <w:r w:rsidR="00A64984">
        <w:rPr>
          <w:lang w:val="en-US"/>
        </w:rPr>
        <w:t xml:space="preserve"> of o</w:t>
      </w:r>
      <w:r>
        <w:rPr>
          <w:lang w:val="en-US"/>
        </w:rPr>
        <w:t>ur student teachers</w:t>
      </w:r>
      <w:r w:rsidR="00A64984">
        <w:rPr>
          <w:lang w:val="en-US"/>
        </w:rPr>
        <w:t>, who were at this time out in schools,</w:t>
      </w:r>
      <w:r>
        <w:rPr>
          <w:lang w:val="en-US"/>
        </w:rPr>
        <w:t xml:space="preserve"> joined their </w:t>
      </w:r>
      <w:r w:rsidR="00A64984">
        <w:rPr>
          <w:lang w:val="en-US"/>
        </w:rPr>
        <w:t xml:space="preserve">school </w:t>
      </w:r>
      <w:r>
        <w:rPr>
          <w:lang w:val="en-US"/>
        </w:rPr>
        <w:t xml:space="preserve">associate teachers virtually, and co-taught classes online using the school’s system. </w:t>
      </w:r>
    </w:p>
    <w:p w14:paraId="34D9D1E7" w14:textId="5A26BF49" w:rsidR="009E3645" w:rsidRDefault="009E3645" w:rsidP="00A507D6">
      <w:pPr>
        <w:pStyle w:val="fullContent"/>
        <w:spacing w:after="0"/>
        <w:rPr>
          <w:lang w:val="en-US"/>
        </w:rPr>
      </w:pPr>
      <w:r>
        <w:rPr>
          <w:lang w:val="en-US"/>
        </w:rPr>
        <w:t xml:space="preserve">New Zealand has been fortunate in that the most intensive lock-down was for seven weeks last year and since then </w:t>
      </w:r>
      <w:r w:rsidR="00DA14B7">
        <w:rPr>
          <w:lang w:val="en-US"/>
        </w:rPr>
        <w:t xml:space="preserve">there have only been localized and less stringent lockdowns. Nonetheless, schools and universities have learnt from this experience and extended their systems to prepare for future lockdowns. For example, all staff at this university must be contactable via Microsoft Teams. All staff must record their on-campus lectures and be prepared to change their mode of delivery to </w:t>
      </w:r>
      <w:r w:rsidR="00AE4018">
        <w:rPr>
          <w:lang w:val="en-US"/>
        </w:rPr>
        <w:t xml:space="preserve">exclusively </w:t>
      </w:r>
      <w:r w:rsidR="00DA14B7">
        <w:rPr>
          <w:lang w:val="en-US"/>
        </w:rPr>
        <w:t>online overnight. Zoom staff meetings and Zoom tutorials are used far more commonly than before</w:t>
      </w:r>
      <w:r w:rsidR="005809E7">
        <w:rPr>
          <w:lang w:val="en-US"/>
        </w:rPr>
        <w:t>. So, for schools and universities alike,</w:t>
      </w:r>
      <w:r w:rsidR="00DA14B7">
        <w:rPr>
          <w:lang w:val="en-US"/>
        </w:rPr>
        <w:t xml:space="preserve"> instead of viewing digital technologies as a shiny add-on to our core business, many of us now appreciate </w:t>
      </w:r>
      <w:r w:rsidR="00D87092">
        <w:rPr>
          <w:lang w:val="en-US"/>
        </w:rPr>
        <w:t>that</w:t>
      </w:r>
      <w:r w:rsidR="00DA14B7">
        <w:rPr>
          <w:lang w:val="en-US"/>
        </w:rPr>
        <w:t xml:space="preserve"> they </w:t>
      </w:r>
      <w:r w:rsidR="00DA14B7">
        <w:rPr>
          <w:lang w:val="en-US"/>
        </w:rPr>
        <w:t>enable us to continue the process of teaching and learning regardless of the Covid situation.</w:t>
      </w:r>
    </w:p>
    <w:p w14:paraId="1DF8E872" w14:textId="77777777" w:rsidR="00835925" w:rsidRPr="00835925" w:rsidRDefault="00835925" w:rsidP="00A507D6">
      <w:pPr>
        <w:pStyle w:val="fullContent"/>
        <w:spacing w:after="0"/>
        <w:rPr>
          <w:b/>
          <w:lang w:val="en-US"/>
        </w:rPr>
      </w:pPr>
      <w:r w:rsidRPr="00835925">
        <w:rPr>
          <w:b/>
          <w:lang w:val="en-US"/>
        </w:rPr>
        <w:t>NEED TO FOCUS ON STUDENT WELL-BEING</w:t>
      </w:r>
    </w:p>
    <w:p w14:paraId="5F685E58" w14:textId="0E44A59F" w:rsidR="00E817E4" w:rsidRDefault="0098551D" w:rsidP="00A507D6">
      <w:pPr>
        <w:pStyle w:val="fullContent"/>
        <w:spacing w:after="0"/>
        <w:rPr>
          <w:lang w:val="en-NZ"/>
        </w:rPr>
      </w:pPr>
      <w:r>
        <w:rPr>
          <w:lang w:val="en-US"/>
        </w:rPr>
        <w:t>There are obvious opportunities available to students learning online if they are encourag</w:t>
      </w:r>
      <w:r w:rsidR="005C0E5F">
        <w:rPr>
          <w:lang w:val="en-US"/>
        </w:rPr>
        <w:t xml:space="preserve">ed to seize them. For example, </w:t>
      </w:r>
      <w:r>
        <w:rPr>
          <w:lang w:val="en-US"/>
        </w:rPr>
        <w:t>Yates et al</w:t>
      </w:r>
      <w:r w:rsidR="005C0E5F">
        <w:rPr>
          <w:lang w:val="en-US"/>
        </w:rPr>
        <w:t>., (2020)</w:t>
      </w:r>
      <w:r>
        <w:rPr>
          <w:lang w:val="en-US"/>
        </w:rPr>
        <w:t xml:space="preserve"> found that students </w:t>
      </w:r>
      <w:r w:rsidR="00D87092">
        <w:rPr>
          <w:lang w:val="en-US"/>
        </w:rPr>
        <w:t>reported</w:t>
      </w:r>
      <w:r>
        <w:rPr>
          <w:lang w:val="en-US"/>
        </w:rPr>
        <w:t xml:space="preserve"> more ag</w:t>
      </w:r>
      <w:r w:rsidR="005C0E5F">
        <w:rPr>
          <w:lang w:val="en-US"/>
        </w:rPr>
        <w:t>ency</w:t>
      </w:r>
      <w:r>
        <w:rPr>
          <w:lang w:val="en-US"/>
        </w:rPr>
        <w:t xml:space="preserve"> over the</w:t>
      </w:r>
      <w:r w:rsidR="00D87092">
        <w:rPr>
          <w:lang w:val="en-US"/>
        </w:rPr>
        <w:t>ir engagement with</w:t>
      </w:r>
      <w:r>
        <w:rPr>
          <w:lang w:val="en-US"/>
        </w:rPr>
        <w:t xml:space="preserve"> subject matter</w:t>
      </w:r>
      <w:r w:rsidR="00D87092">
        <w:rPr>
          <w:lang w:val="en-US"/>
        </w:rPr>
        <w:t xml:space="preserve"> and they enjoyed having greater</w:t>
      </w:r>
      <w:r w:rsidR="005C0E5F">
        <w:rPr>
          <w:lang w:val="en-US"/>
        </w:rPr>
        <w:t xml:space="preserve"> flexibility </w:t>
      </w:r>
      <w:r w:rsidR="00D87092">
        <w:rPr>
          <w:lang w:val="en-US"/>
        </w:rPr>
        <w:t>over their</w:t>
      </w:r>
      <w:r w:rsidR="005C0E5F">
        <w:rPr>
          <w:lang w:val="en-US"/>
        </w:rPr>
        <w:t xml:space="preserve"> time management</w:t>
      </w:r>
      <w:r w:rsidR="00D87092">
        <w:rPr>
          <w:lang w:val="en-US"/>
        </w:rPr>
        <w:t>. In addition, they</w:t>
      </w:r>
      <w:r w:rsidR="005C0E5F">
        <w:rPr>
          <w:lang w:val="en-US"/>
        </w:rPr>
        <w:t xml:space="preserve"> found that they could collaborate productively with classmates and their teacher.  However, a</w:t>
      </w:r>
      <w:r w:rsidR="00DA14B7">
        <w:rPr>
          <w:lang w:val="en-US"/>
        </w:rPr>
        <w:t>long</w:t>
      </w:r>
      <w:r w:rsidR="005C0E5F">
        <w:rPr>
          <w:lang w:val="en-US"/>
        </w:rPr>
        <w:t>side the</w:t>
      </w:r>
      <w:r w:rsidR="00D87092">
        <w:rPr>
          <w:lang w:val="en-US"/>
        </w:rPr>
        <w:t>se</w:t>
      </w:r>
      <w:r w:rsidR="005C0E5F">
        <w:rPr>
          <w:lang w:val="en-US"/>
        </w:rPr>
        <w:t xml:space="preserve"> potential </w:t>
      </w:r>
      <w:r w:rsidR="00DA14B7">
        <w:rPr>
          <w:lang w:val="en-US"/>
        </w:rPr>
        <w:t xml:space="preserve">benefits of digitally enabled distance teaching and learning, there are downsides. The most obvious has been </w:t>
      </w:r>
      <w:r w:rsidR="00D87092">
        <w:rPr>
          <w:lang w:val="en-US"/>
        </w:rPr>
        <w:t>the negative</w:t>
      </w:r>
      <w:r w:rsidR="00DA14B7">
        <w:rPr>
          <w:lang w:val="en-US"/>
        </w:rPr>
        <w:t xml:space="preserve"> impact on the health and well-being of students in particular. When businesses closed for lock-down, families were restricted to working and studying at home. Some households </w:t>
      </w:r>
      <w:r w:rsidR="00D627CD">
        <w:rPr>
          <w:lang w:val="en-US"/>
        </w:rPr>
        <w:t>did not own</w:t>
      </w:r>
      <w:r w:rsidR="00DA14B7">
        <w:rPr>
          <w:lang w:val="en-US"/>
        </w:rPr>
        <w:t xml:space="preserve"> computers </w:t>
      </w:r>
      <w:r w:rsidR="008851FC">
        <w:rPr>
          <w:lang w:val="en-US"/>
        </w:rPr>
        <w:t>(</w:t>
      </w:r>
      <w:r w:rsidR="008851FC" w:rsidRPr="009D4227">
        <w:rPr>
          <w:lang w:val="en-NZ"/>
        </w:rPr>
        <w:t xml:space="preserve">Drane, Vernon, &amp; O’Shea, </w:t>
      </w:r>
      <w:r w:rsidR="008851FC">
        <w:rPr>
          <w:lang w:val="en-NZ"/>
        </w:rPr>
        <w:t>2020)</w:t>
      </w:r>
      <w:r w:rsidR="008851FC">
        <w:rPr>
          <w:lang w:val="en-US"/>
        </w:rPr>
        <w:t xml:space="preserve"> </w:t>
      </w:r>
      <w:r w:rsidR="00DA14B7">
        <w:rPr>
          <w:lang w:val="en-US"/>
        </w:rPr>
        <w:t xml:space="preserve">and schools and the Ministry of Education worked to provide </w:t>
      </w:r>
      <w:r w:rsidR="00D627CD">
        <w:rPr>
          <w:lang w:val="en-US"/>
        </w:rPr>
        <w:t xml:space="preserve">them with devices </w:t>
      </w:r>
      <w:r w:rsidR="00DF036D">
        <w:rPr>
          <w:lang w:val="en-US"/>
        </w:rPr>
        <w:t xml:space="preserve">and internet connection </w:t>
      </w:r>
      <w:r w:rsidR="00D627CD">
        <w:rPr>
          <w:lang w:val="en-US"/>
        </w:rPr>
        <w:t xml:space="preserve">so that they could continue to learn. Many families enjoyed the opportunity to </w:t>
      </w:r>
      <w:r w:rsidR="00D87092">
        <w:rPr>
          <w:lang w:val="en-US"/>
        </w:rPr>
        <w:t xml:space="preserve">study and </w:t>
      </w:r>
      <w:r w:rsidR="00D627CD">
        <w:rPr>
          <w:lang w:val="en-US"/>
        </w:rPr>
        <w:t xml:space="preserve">spend time together but </w:t>
      </w:r>
      <w:r w:rsidR="00D87092">
        <w:rPr>
          <w:lang w:val="en-US"/>
        </w:rPr>
        <w:t>vulnerable students felt isolated from school friends and loved ones</w:t>
      </w:r>
      <w:r w:rsidR="008851FC">
        <w:rPr>
          <w:lang w:val="en-US"/>
        </w:rPr>
        <w:t>.</w:t>
      </w:r>
    </w:p>
    <w:p w14:paraId="3B9ECB98" w14:textId="15B6616A" w:rsidR="00835925" w:rsidRDefault="0098551D" w:rsidP="00A507D6">
      <w:pPr>
        <w:pStyle w:val="fullContent"/>
        <w:spacing w:after="0"/>
        <w:rPr>
          <w:lang w:val="en-US"/>
        </w:rPr>
      </w:pPr>
      <w:r>
        <w:rPr>
          <w:lang w:val="en-NZ"/>
        </w:rPr>
        <w:t xml:space="preserve">In a survey </w:t>
      </w:r>
      <w:r w:rsidR="00E817E4">
        <w:rPr>
          <w:lang w:val="en-NZ"/>
        </w:rPr>
        <w:t>of nearly 5000 educators in Australia and New Zealand at the start of the pandemic</w:t>
      </w:r>
      <w:r>
        <w:rPr>
          <w:lang w:val="en-NZ"/>
        </w:rPr>
        <w:t>, t</w:t>
      </w:r>
      <w:r w:rsidR="00E817E4">
        <w:rPr>
          <w:lang w:val="en-NZ"/>
        </w:rPr>
        <w:t>he</w:t>
      </w:r>
      <w:r>
        <w:rPr>
          <w:lang w:val="en-NZ"/>
        </w:rPr>
        <w:t xml:space="preserve"> teacher participants</w:t>
      </w:r>
      <w:r w:rsidR="00E817E4">
        <w:rPr>
          <w:lang w:val="en-NZ"/>
        </w:rPr>
        <w:t xml:space="preserve"> agreed that social isolation and social disconnection of students were the two areas of most concern</w:t>
      </w:r>
      <w:r>
        <w:rPr>
          <w:lang w:val="en-NZ"/>
        </w:rPr>
        <w:t xml:space="preserve"> (Flack et al., 2020)</w:t>
      </w:r>
      <w:r w:rsidR="00E817E4">
        <w:rPr>
          <w:lang w:val="en-NZ"/>
        </w:rPr>
        <w:t>.</w:t>
      </w:r>
      <w:r w:rsidR="00D87092">
        <w:rPr>
          <w:lang w:val="en-NZ"/>
        </w:rPr>
        <w:t xml:space="preserve"> This placed a new expectation of pastoral care on already burdened teachers who were struggling with their own families and new professional expectations.</w:t>
      </w:r>
    </w:p>
    <w:p w14:paraId="3F734824" w14:textId="77777777" w:rsidR="00835925" w:rsidRDefault="00835925" w:rsidP="00A507D6">
      <w:pPr>
        <w:pStyle w:val="fullContent"/>
        <w:spacing w:after="0"/>
        <w:rPr>
          <w:lang w:val="en-US"/>
        </w:rPr>
      </w:pPr>
    </w:p>
    <w:p w14:paraId="32376913" w14:textId="77777777" w:rsidR="00C103CF" w:rsidRDefault="00835925" w:rsidP="00A507D6">
      <w:pPr>
        <w:pStyle w:val="fullContent"/>
        <w:spacing w:after="0"/>
        <w:rPr>
          <w:lang w:val="en-US"/>
        </w:rPr>
      </w:pPr>
      <w:r w:rsidRPr="00835925">
        <w:rPr>
          <w:b/>
          <w:lang w:val="en-US"/>
        </w:rPr>
        <w:t>CLOSED INTERNATIONAL BORDERS</w:t>
      </w:r>
    </w:p>
    <w:p w14:paraId="0F18D1B8" w14:textId="0B8DFAAE" w:rsidR="00C103CF" w:rsidRDefault="00C103CF" w:rsidP="00A507D6">
      <w:pPr>
        <w:pStyle w:val="fullContent"/>
        <w:spacing w:after="0"/>
        <w:rPr>
          <w:lang w:val="en-US"/>
        </w:rPr>
      </w:pPr>
      <w:r>
        <w:rPr>
          <w:lang w:val="en-US"/>
        </w:rPr>
        <w:t>Like every other country in the world, New Zealand closed its international border when Covid hit</w:t>
      </w:r>
      <w:r w:rsidR="00A507D6">
        <w:rPr>
          <w:lang w:val="en-US"/>
        </w:rPr>
        <w:t>.</w:t>
      </w:r>
      <w:r>
        <w:rPr>
          <w:lang w:val="en-US"/>
        </w:rPr>
        <w:t xml:space="preserve"> This </w:t>
      </w:r>
      <w:r w:rsidR="00872A07">
        <w:rPr>
          <w:lang w:val="en-US"/>
        </w:rPr>
        <w:t xml:space="preserve">has exposed “education providers’ financial dependence on international student fees, precipitated job </w:t>
      </w:r>
      <w:r w:rsidR="00872A07">
        <w:rPr>
          <w:lang w:val="en-US"/>
        </w:rPr>
        <w:lastRenderedPageBreak/>
        <w:t>losses and created sector-wide uncertainty” (Beard, 2020, p.1384). The flow-on impact in schools has been to cut back on departments that cater specifically to international students. In secondary schools, fees from international students have often been used to subsidise English (classes) for speakers of other languages (ESOL)</w:t>
      </w:r>
      <w:r w:rsidR="00D87092">
        <w:rPr>
          <w:lang w:val="en-US"/>
        </w:rPr>
        <w:t>. These classes not only serve international students, but</w:t>
      </w:r>
      <w:r w:rsidR="00872A07">
        <w:rPr>
          <w:lang w:val="en-US"/>
        </w:rPr>
        <w:t xml:space="preserve"> also </w:t>
      </w:r>
      <w:r w:rsidR="00AE4018">
        <w:rPr>
          <w:lang w:val="en-US"/>
        </w:rPr>
        <w:t xml:space="preserve">support </w:t>
      </w:r>
      <w:r w:rsidR="00872A07">
        <w:rPr>
          <w:lang w:val="en-US"/>
        </w:rPr>
        <w:t xml:space="preserve">migrant students and New Zealand born students of migrant parents, whose first language is a language other than English. These departments and the specialist teachers who staff them have been (anecdotally) the first to close. This leaves a gap in linguistic support for local emergent bilingual students. Theoretically, this should not be a problem given the expectations set out in the New Zealand Curriculum Ministry of Education, 2007) that all teachers should be aware of and prepared to explicitly teach the language forms of their discipline.  In practice, this </w:t>
      </w:r>
      <w:r w:rsidR="00AE4018">
        <w:rPr>
          <w:lang w:val="en-US"/>
        </w:rPr>
        <w:t xml:space="preserve">objective </w:t>
      </w:r>
      <w:r w:rsidR="00872A07">
        <w:rPr>
          <w:lang w:val="en-US"/>
        </w:rPr>
        <w:t>has not been achieved</w:t>
      </w:r>
      <w:r w:rsidR="00C372C6">
        <w:rPr>
          <w:lang w:val="en-US"/>
        </w:rPr>
        <w:t xml:space="preserve"> (Gleeson, 2015; Gleeson &amp; Davison, 2019), leaving this vulnerable group of learners without expert support</w:t>
      </w:r>
      <w:r w:rsidR="00872A07">
        <w:rPr>
          <w:lang w:val="en-US"/>
        </w:rPr>
        <w:t>.</w:t>
      </w:r>
    </w:p>
    <w:p w14:paraId="784978AA" w14:textId="06308988" w:rsidR="00A507D6" w:rsidRDefault="00A507D6" w:rsidP="00A507D6">
      <w:pPr>
        <w:pStyle w:val="fullContent"/>
        <w:spacing w:after="0"/>
        <w:rPr>
          <w:lang w:val="en-US"/>
        </w:rPr>
      </w:pPr>
      <w:r>
        <w:rPr>
          <w:lang w:val="en-US"/>
        </w:rPr>
        <w:t xml:space="preserve"> </w:t>
      </w:r>
    </w:p>
    <w:p w14:paraId="6CF52A4E" w14:textId="77777777" w:rsidR="00835925" w:rsidRDefault="00835925" w:rsidP="00A507D6">
      <w:pPr>
        <w:pStyle w:val="fullContent"/>
        <w:spacing w:after="0"/>
        <w:rPr>
          <w:lang w:val="en-US"/>
        </w:rPr>
      </w:pPr>
    </w:p>
    <w:p w14:paraId="2EBC8CFD" w14:textId="02873CD3" w:rsidR="00A507D6" w:rsidRPr="00A34459" w:rsidRDefault="00A507D6" w:rsidP="00A507D6">
      <w:pPr>
        <w:pStyle w:val="fullTitleContent"/>
        <w:rPr>
          <w:lang w:val="en-US"/>
        </w:rPr>
      </w:pPr>
      <w:r w:rsidRPr="00A34459">
        <w:t>CONCLUSION</w:t>
      </w:r>
    </w:p>
    <w:p w14:paraId="785AC300" w14:textId="169D54CB" w:rsidR="00A507D6" w:rsidRPr="003B34BB" w:rsidRDefault="00E54E94" w:rsidP="003B34BB">
      <w:pPr>
        <w:spacing w:line="240" w:lineRule="auto"/>
        <w:ind w:right="261"/>
        <w:jc w:val="both"/>
        <w:rPr>
          <w:rFonts w:ascii="Times New Roman" w:hAnsi="Times New Roman" w:cs="Times New Roman" w:hint="default"/>
          <w:sz w:val="24"/>
          <w:szCs w:val="24"/>
        </w:rPr>
      </w:pPr>
      <w:r>
        <w:rPr>
          <w:rFonts w:ascii="Times New Roman" w:hAnsi="Times New Roman" w:cs="Times New Roman" w:hint="default"/>
          <w:sz w:val="24"/>
          <w:szCs w:val="24"/>
        </w:rPr>
        <w:t>This paper shares</w:t>
      </w:r>
      <w:r w:rsidR="00D87092">
        <w:rPr>
          <w:rFonts w:ascii="Times New Roman" w:hAnsi="Times New Roman" w:cs="Times New Roman" w:hint="default"/>
          <w:sz w:val="24"/>
          <w:szCs w:val="24"/>
        </w:rPr>
        <w:t xml:space="preserve"> some of the issues that Covid-19 has surfaced in New Zealand schools and universities.</w:t>
      </w:r>
      <w:r w:rsidR="00A507D6">
        <w:rPr>
          <w:rFonts w:ascii="Times New Roman" w:hAnsi="Times New Roman" w:cs="Times New Roman" w:hint="default"/>
          <w:sz w:val="24"/>
          <w:szCs w:val="24"/>
        </w:rPr>
        <w:t xml:space="preserve"> </w:t>
      </w:r>
      <w:r w:rsidR="00EF212B">
        <w:rPr>
          <w:rFonts w:ascii="Times New Roman" w:hAnsi="Times New Roman" w:cs="Times New Roman" w:hint="default"/>
          <w:sz w:val="24"/>
          <w:szCs w:val="24"/>
        </w:rPr>
        <w:t>We have found t</w:t>
      </w:r>
      <w:r w:rsidR="003B34BB">
        <w:rPr>
          <w:rFonts w:ascii="Times New Roman" w:hAnsi="Times New Roman" w:cs="Times New Roman" w:hint="default"/>
          <w:sz w:val="24"/>
          <w:szCs w:val="24"/>
        </w:rPr>
        <w:t xml:space="preserve">hat even though many schools and universities were able to move all teaching online with reasonable ease, this flexibility was not shared by all educational institutions, or all students with equal ease. Students from vulnerable communities did not enjoy the same access to learning as those from more affluent schools. The mental and emotional health of many learners, their families and teachers suffered during the periods of isolation. As the borders closed to international students, departments set up to support their academic language learning have closed. This has left emergent bilinguals without the additional linguistic </w:t>
      </w:r>
      <w:r w:rsidR="003B34BB">
        <w:rPr>
          <w:rFonts w:ascii="Times New Roman" w:hAnsi="Times New Roman" w:cs="Times New Roman" w:hint="default"/>
          <w:sz w:val="24"/>
          <w:szCs w:val="24"/>
        </w:rPr>
        <w:t>resources promised in the New Zealand Curriculum. This in turn endangers the academic success of another vulnerable community.</w:t>
      </w:r>
    </w:p>
    <w:p w14:paraId="4CF7C85E" w14:textId="77777777" w:rsidR="00A507D6" w:rsidRDefault="00A507D6" w:rsidP="00A507D6">
      <w:pPr>
        <w:spacing w:line="240" w:lineRule="auto"/>
        <w:jc w:val="center"/>
        <w:rPr>
          <w:rFonts w:ascii="Times New Roman" w:hAnsi="Times New Roman" w:cs="Times New Roman" w:hint="default"/>
          <w:sz w:val="24"/>
          <w:szCs w:val="24"/>
          <w:lang w:val="id-ID"/>
        </w:rPr>
      </w:pPr>
    </w:p>
    <w:p w14:paraId="7A47C350" w14:textId="1621EA11" w:rsidR="004D6F0E" w:rsidRDefault="00A507D6" w:rsidP="00A507D6">
      <w:pPr>
        <w:spacing w:line="240" w:lineRule="auto"/>
        <w:rPr>
          <w:rFonts w:ascii="Times New Roman" w:hAnsi="Times New Roman" w:cs="Times New Roman" w:hint="default"/>
          <w:i/>
          <w:sz w:val="24"/>
          <w:szCs w:val="24"/>
        </w:rPr>
      </w:pPr>
      <w:r w:rsidRPr="00A507D6">
        <w:rPr>
          <w:rFonts w:ascii="Times New Roman" w:hAnsi="Times New Roman" w:cs="Times New Roman" w:hint="default"/>
          <w:i/>
          <w:sz w:val="24"/>
          <w:szCs w:val="24"/>
          <w:lang w:val="id-ID"/>
        </w:rPr>
        <w:t>Reference</w:t>
      </w:r>
      <w:r w:rsidRPr="00A507D6">
        <w:rPr>
          <w:rFonts w:ascii="Times New Roman" w:hAnsi="Times New Roman" w:cs="Times New Roman" w:hint="default"/>
          <w:i/>
          <w:sz w:val="24"/>
          <w:szCs w:val="24"/>
        </w:rPr>
        <w:t>s</w:t>
      </w:r>
    </w:p>
    <w:p w14:paraId="2E1D3B36" w14:textId="32754077" w:rsidR="00172F48" w:rsidRDefault="00172F48" w:rsidP="00A507D6">
      <w:pPr>
        <w:spacing w:line="240" w:lineRule="auto"/>
        <w:rPr>
          <w:rFonts w:ascii="Times New Roman" w:hAnsi="Times New Roman" w:cs="Times New Roman" w:hint="default"/>
          <w:i/>
          <w:sz w:val="24"/>
          <w:szCs w:val="24"/>
        </w:rPr>
      </w:pPr>
    </w:p>
    <w:p w14:paraId="620B81B0" w14:textId="77777777" w:rsidR="00172F48" w:rsidRPr="00172F48" w:rsidRDefault="00172F48" w:rsidP="00172F48">
      <w:pPr>
        <w:spacing w:line="240" w:lineRule="auto"/>
        <w:rPr>
          <w:rFonts w:ascii="Times New Roman" w:hAnsi="Times New Roman" w:cs="Times New Roman" w:hint="default"/>
          <w:sz w:val="24"/>
          <w:szCs w:val="24"/>
          <w:lang w:val="en-NZ"/>
        </w:rPr>
      </w:pPr>
      <w:r w:rsidRPr="00172F48">
        <w:rPr>
          <w:rFonts w:ascii="Times New Roman" w:hAnsi="Times New Roman" w:cs="Times New Roman" w:hint="default"/>
          <w:sz w:val="24"/>
          <w:szCs w:val="24"/>
          <w:lang w:val="en-NZ"/>
        </w:rPr>
        <w:t xml:space="preserve">Beard, C. (2020). International education in New Zealand: contemplating a new dawn following COVID-19’s darkest night. </w:t>
      </w:r>
      <w:r w:rsidRPr="00172F48">
        <w:rPr>
          <w:rFonts w:ascii="Times New Roman" w:hAnsi="Times New Roman" w:cs="Times New Roman" w:hint="default"/>
          <w:i/>
          <w:iCs/>
          <w:sz w:val="24"/>
          <w:szCs w:val="24"/>
          <w:lang w:val="en-NZ"/>
        </w:rPr>
        <w:t>Higher Education Research &amp; Development, 39</w:t>
      </w:r>
      <w:r w:rsidRPr="00172F48">
        <w:rPr>
          <w:rFonts w:ascii="Times New Roman" w:hAnsi="Times New Roman" w:cs="Times New Roman" w:hint="default"/>
          <w:sz w:val="24"/>
          <w:szCs w:val="24"/>
          <w:lang w:val="en-NZ"/>
        </w:rPr>
        <w:t>(7), 1384-1387. doi:10.1080/07294360.2020.1825344</w:t>
      </w:r>
    </w:p>
    <w:p w14:paraId="71B77BF7" w14:textId="38AA59E7" w:rsidR="00835925" w:rsidRDefault="00A507D6" w:rsidP="00A507D6">
      <w:pPr>
        <w:spacing w:line="240" w:lineRule="auto"/>
        <w:rPr>
          <w:rFonts w:ascii="Times New Roman" w:hAnsi="Times New Roman" w:cs="Times New Roman" w:hint="default"/>
          <w:sz w:val="24"/>
          <w:szCs w:val="24"/>
          <w:lang w:val="id-ID"/>
        </w:rPr>
      </w:pPr>
      <w:r w:rsidRPr="00A507D6">
        <w:rPr>
          <w:rFonts w:ascii="Times New Roman" w:hAnsi="Times New Roman" w:cs="Times New Roman" w:hint="default"/>
          <w:sz w:val="24"/>
          <w:szCs w:val="24"/>
          <w:lang w:val="id-ID"/>
        </w:rPr>
        <w:t xml:space="preserve"> </w:t>
      </w:r>
    </w:p>
    <w:p w14:paraId="36804DBB" w14:textId="22BFC757" w:rsidR="009D4227" w:rsidRDefault="009D4227" w:rsidP="00172F48">
      <w:pPr>
        <w:spacing w:line="240" w:lineRule="auto"/>
        <w:rPr>
          <w:rFonts w:ascii="Times New Roman" w:hAnsi="Times New Roman" w:cs="Times New Roman" w:hint="default"/>
          <w:sz w:val="24"/>
          <w:szCs w:val="24"/>
          <w:lang w:val="en-NZ"/>
        </w:rPr>
      </w:pPr>
      <w:r w:rsidRPr="009D4227">
        <w:rPr>
          <w:rFonts w:ascii="Times New Roman" w:hAnsi="Times New Roman" w:cs="Times New Roman" w:hint="default"/>
          <w:sz w:val="24"/>
          <w:szCs w:val="24"/>
          <w:lang w:val="en-NZ"/>
        </w:rPr>
        <w:t xml:space="preserve">Drane, C.F., Vernon, L. &amp; O’Shea, S. </w:t>
      </w:r>
      <w:r>
        <w:rPr>
          <w:rFonts w:ascii="Times New Roman" w:hAnsi="Times New Roman" w:cs="Times New Roman" w:hint="default"/>
          <w:sz w:val="24"/>
          <w:szCs w:val="24"/>
          <w:lang w:val="en-NZ"/>
        </w:rPr>
        <w:t xml:space="preserve">(2020). </w:t>
      </w:r>
      <w:r w:rsidRPr="009D4227">
        <w:rPr>
          <w:rFonts w:ascii="Times New Roman" w:hAnsi="Times New Roman" w:cs="Times New Roman" w:hint="default"/>
          <w:sz w:val="24"/>
          <w:szCs w:val="24"/>
          <w:lang w:val="en-NZ"/>
        </w:rPr>
        <w:t xml:space="preserve">Vulnerable learners in the age of COVID-19: A scoping review. </w:t>
      </w:r>
      <w:r w:rsidRPr="009D4227">
        <w:rPr>
          <w:rFonts w:ascii="Times New Roman" w:hAnsi="Times New Roman" w:cs="Times New Roman" w:hint="default"/>
          <w:i/>
          <w:sz w:val="24"/>
          <w:szCs w:val="24"/>
          <w:lang w:val="en-NZ"/>
        </w:rPr>
        <w:t xml:space="preserve">The Australian Educational Researcher. </w:t>
      </w:r>
      <w:hyperlink r:id="rId11" w:history="1">
        <w:r w:rsidRPr="00F10CDD">
          <w:rPr>
            <w:rStyle w:val="Hyperlink"/>
            <w:rFonts w:ascii="Times New Roman" w:hAnsi="Times New Roman" w:hint="eastAsia"/>
            <w:lang w:val="en-NZ"/>
          </w:rPr>
          <w:t>https://doi.org/10.1007/s13384-020-00409-5</w:t>
        </w:r>
      </w:hyperlink>
    </w:p>
    <w:p w14:paraId="5A0F5C35" w14:textId="77777777" w:rsidR="009D4227" w:rsidRDefault="009D4227" w:rsidP="00172F48">
      <w:pPr>
        <w:spacing w:line="240" w:lineRule="auto"/>
        <w:rPr>
          <w:rFonts w:ascii="Times New Roman" w:hAnsi="Times New Roman" w:cs="Times New Roman" w:hint="default"/>
          <w:sz w:val="24"/>
          <w:szCs w:val="24"/>
          <w:lang w:val="en-NZ"/>
        </w:rPr>
      </w:pPr>
    </w:p>
    <w:p w14:paraId="4E9DC5E7" w14:textId="7D0B5563" w:rsidR="00172F48" w:rsidRDefault="00172F48" w:rsidP="00172F48">
      <w:pPr>
        <w:spacing w:line="240" w:lineRule="auto"/>
        <w:rPr>
          <w:rFonts w:ascii="Times New Roman" w:hAnsi="Times New Roman" w:cs="Times New Roman" w:hint="default"/>
          <w:sz w:val="24"/>
          <w:szCs w:val="24"/>
          <w:lang w:val="en-NZ"/>
        </w:rPr>
      </w:pPr>
      <w:r w:rsidRPr="00172F48">
        <w:rPr>
          <w:rFonts w:ascii="Times New Roman" w:hAnsi="Times New Roman" w:cs="Times New Roman" w:hint="default"/>
          <w:sz w:val="24"/>
          <w:szCs w:val="24"/>
          <w:lang w:val="en-NZ"/>
        </w:rPr>
        <w:t xml:space="preserve">Flack, C. B., Walker, L., Bickerstaff, A., Earle, H., &amp; Margetts, C. (2020). </w:t>
      </w:r>
      <w:r w:rsidRPr="00172F48">
        <w:rPr>
          <w:rFonts w:ascii="Times New Roman" w:hAnsi="Times New Roman" w:cs="Times New Roman" w:hint="default"/>
          <w:i/>
          <w:iCs/>
          <w:sz w:val="24"/>
          <w:szCs w:val="24"/>
          <w:lang w:val="en-NZ"/>
        </w:rPr>
        <w:t>Educator perspectives on the impact of COVID-19 on teaching and learning in Australia and New Zealand</w:t>
      </w:r>
      <w:r w:rsidRPr="00172F48">
        <w:rPr>
          <w:rFonts w:ascii="Times New Roman" w:hAnsi="Times New Roman" w:cs="Times New Roman" w:hint="default"/>
          <w:sz w:val="24"/>
          <w:szCs w:val="24"/>
          <w:lang w:val="en-NZ"/>
        </w:rPr>
        <w:t>. Melbourne, Australia: Pivot Professional Learning.</w:t>
      </w:r>
    </w:p>
    <w:p w14:paraId="36D7A6FC" w14:textId="77777777" w:rsidR="00C372C6" w:rsidRPr="00172F48" w:rsidRDefault="00C372C6" w:rsidP="00172F48">
      <w:pPr>
        <w:spacing w:line="240" w:lineRule="auto"/>
        <w:rPr>
          <w:rFonts w:ascii="Times New Roman" w:hAnsi="Times New Roman" w:cs="Times New Roman" w:hint="default"/>
          <w:sz w:val="24"/>
          <w:szCs w:val="24"/>
          <w:lang w:val="en-NZ"/>
        </w:rPr>
      </w:pPr>
    </w:p>
    <w:p w14:paraId="0BE9951D" w14:textId="77777777" w:rsidR="00C372C6" w:rsidRPr="00C372C6" w:rsidRDefault="00C372C6" w:rsidP="00C372C6">
      <w:pPr>
        <w:spacing w:line="240" w:lineRule="auto"/>
        <w:rPr>
          <w:rFonts w:ascii="Times New Roman" w:hAnsi="Times New Roman" w:cs="Times New Roman" w:hint="default"/>
          <w:sz w:val="24"/>
          <w:szCs w:val="24"/>
          <w:lang w:val="en-NZ"/>
        </w:rPr>
      </w:pPr>
      <w:r w:rsidRPr="00C372C6">
        <w:rPr>
          <w:rFonts w:ascii="Times New Roman" w:hAnsi="Times New Roman" w:cs="Times New Roman" w:hint="default"/>
          <w:sz w:val="24"/>
          <w:szCs w:val="24"/>
          <w:lang w:val="en-NZ"/>
        </w:rPr>
        <w:t xml:space="preserve">Gleeson, M. (2015). ‘It’s the nature of the subject’: Secondary teachers’ disciplinary beliefs and decisions about teaching academic language in their content classes. </w:t>
      </w:r>
      <w:r w:rsidRPr="00C372C6">
        <w:rPr>
          <w:rFonts w:ascii="Times New Roman" w:hAnsi="Times New Roman" w:cs="Times New Roman" w:hint="default"/>
          <w:i/>
          <w:iCs/>
          <w:sz w:val="24"/>
          <w:szCs w:val="24"/>
          <w:lang w:val="en-NZ"/>
        </w:rPr>
        <w:t>Australian Journal of Language and Literacy, 38</w:t>
      </w:r>
      <w:r w:rsidRPr="00C372C6">
        <w:rPr>
          <w:rFonts w:ascii="Times New Roman" w:hAnsi="Times New Roman" w:cs="Times New Roman" w:hint="default"/>
          <w:sz w:val="24"/>
          <w:szCs w:val="24"/>
          <w:lang w:val="en-NZ"/>
        </w:rPr>
        <w:t>(2), 104- 114. Retrieved from http://search.informit.com.au/fullText;res=AEIPT;dn=208846</w:t>
      </w:r>
    </w:p>
    <w:p w14:paraId="22756CF9" w14:textId="173B6E9A" w:rsidR="004D6F0E" w:rsidRDefault="004D6F0E" w:rsidP="00346AC4">
      <w:pPr>
        <w:spacing w:line="240" w:lineRule="auto"/>
        <w:rPr>
          <w:rFonts w:ascii="Times New Roman" w:hAnsi="Times New Roman" w:cs="Times New Roman" w:hint="default"/>
          <w:sz w:val="24"/>
          <w:szCs w:val="24"/>
        </w:rPr>
      </w:pPr>
    </w:p>
    <w:p w14:paraId="6C97F6F6" w14:textId="77777777" w:rsidR="00C372C6" w:rsidRPr="00C372C6" w:rsidRDefault="00C372C6" w:rsidP="00C372C6">
      <w:pPr>
        <w:spacing w:line="240" w:lineRule="auto"/>
        <w:rPr>
          <w:rFonts w:ascii="Times New Roman" w:hAnsi="Times New Roman" w:cs="Times New Roman" w:hint="default"/>
          <w:sz w:val="24"/>
          <w:szCs w:val="24"/>
          <w:lang w:val="en-NZ"/>
        </w:rPr>
      </w:pPr>
      <w:r w:rsidRPr="00C372C6">
        <w:rPr>
          <w:rFonts w:ascii="Times New Roman" w:hAnsi="Times New Roman" w:cs="Times New Roman" w:hint="default"/>
          <w:sz w:val="24"/>
          <w:szCs w:val="24"/>
          <w:lang w:val="en-NZ"/>
        </w:rPr>
        <w:t xml:space="preserve">Gleeson, M., &amp; Davison, C. (2019). Teaching in linguistically and culturally diverse secondary schools: How far have we come? </w:t>
      </w:r>
      <w:r w:rsidRPr="00C372C6">
        <w:rPr>
          <w:rFonts w:ascii="Times New Roman" w:hAnsi="Times New Roman" w:cs="Times New Roman" w:hint="default"/>
          <w:i/>
          <w:iCs/>
          <w:sz w:val="24"/>
          <w:szCs w:val="24"/>
          <w:lang w:val="en-NZ"/>
        </w:rPr>
        <w:t>Australian Review of Applied Linguistics, 42</w:t>
      </w:r>
      <w:r w:rsidRPr="00C372C6">
        <w:rPr>
          <w:rFonts w:ascii="Times New Roman" w:hAnsi="Times New Roman" w:cs="Times New Roman" w:hint="default"/>
          <w:sz w:val="24"/>
          <w:szCs w:val="24"/>
          <w:lang w:val="en-NZ"/>
        </w:rPr>
        <w:t xml:space="preserve">(3), 301 - 321. doi:http://doi.org/10.1075/aral.17093.gle </w:t>
      </w:r>
    </w:p>
    <w:p w14:paraId="5E0ED326" w14:textId="77777777" w:rsidR="00C372C6" w:rsidRDefault="00C372C6" w:rsidP="00346AC4">
      <w:pPr>
        <w:spacing w:line="240" w:lineRule="auto"/>
        <w:rPr>
          <w:rFonts w:ascii="Times New Roman" w:hAnsi="Times New Roman" w:cs="Times New Roman" w:hint="default"/>
          <w:sz w:val="24"/>
          <w:szCs w:val="24"/>
        </w:rPr>
      </w:pPr>
    </w:p>
    <w:p w14:paraId="6EF4EAF4" w14:textId="77777777" w:rsidR="00C372C6" w:rsidRDefault="00C372C6" w:rsidP="00346AC4">
      <w:pPr>
        <w:spacing w:line="240" w:lineRule="auto"/>
        <w:rPr>
          <w:rFonts w:ascii="Times New Roman" w:hAnsi="Times New Roman" w:cs="Times New Roman" w:hint="default"/>
          <w:sz w:val="24"/>
          <w:szCs w:val="24"/>
        </w:rPr>
      </w:pPr>
    </w:p>
    <w:p w14:paraId="2B4FAB66" w14:textId="1D1FFB35" w:rsidR="004D6F0E" w:rsidRDefault="00346AC4" w:rsidP="00346AC4">
      <w:pPr>
        <w:spacing w:line="240" w:lineRule="auto"/>
        <w:rPr>
          <w:rFonts w:ascii="Times New Roman" w:hAnsi="Times New Roman" w:cs="Times New Roman" w:hint="default"/>
          <w:sz w:val="24"/>
          <w:szCs w:val="24"/>
        </w:rPr>
      </w:pPr>
      <w:r>
        <w:rPr>
          <w:rFonts w:ascii="Times New Roman" w:hAnsi="Times New Roman" w:cs="Times New Roman"/>
          <w:sz w:val="24"/>
          <w:szCs w:val="24"/>
        </w:rPr>
        <w:t xml:space="preserve">König, J., </w:t>
      </w:r>
      <w:r w:rsidRPr="00346AC4">
        <w:rPr>
          <w:rFonts w:ascii="Times New Roman" w:hAnsi="Times New Roman" w:cs="Times New Roman"/>
          <w:sz w:val="24"/>
          <w:szCs w:val="24"/>
        </w:rPr>
        <w:t>Jäger-Biela</w:t>
      </w:r>
      <w:r>
        <w:rPr>
          <w:rFonts w:ascii="Times New Roman" w:hAnsi="Times New Roman" w:cs="Times New Roman" w:hint="default"/>
          <w:sz w:val="24"/>
          <w:szCs w:val="24"/>
        </w:rPr>
        <w:t>, D.J.</w:t>
      </w:r>
      <w:r w:rsidRPr="00346AC4">
        <w:rPr>
          <w:rFonts w:ascii="Times New Roman" w:hAnsi="Times New Roman" w:cs="Times New Roman"/>
          <w:sz w:val="24"/>
          <w:szCs w:val="24"/>
        </w:rPr>
        <w:t xml:space="preserve"> &amp; Glutsch</w:t>
      </w:r>
      <w:r>
        <w:rPr>
          <w:rFonts w:ascii="Times New Roman" w:hAnsi="Times New Roman" w:cs="Times New Roman" w:hint="default"/>
          <w:sz w:val="24"/>
          <w:szCs w:val="24"/>
        </w:rPr>
        <w:t>, N.</w:t>
      </w:r>
      <w:r w:rsidRPr="00346AC4">
        <w:rPr>
          <w:rFonts w:ascii="Times New Roman" w:hAnsi="Times New Roman" w:cs="Times New Roman"/>
          <w:sz w:val="24"/>
          <w:szCs w:val="24"/>
        </w:rPr>
        <w:t xml:space="preserve"> (2020)</w:t>
      </w:r>
      <w:r>
        <w:rPr>
          <w:rFonts w:ascii="Times New Roman" w:hAnsi="Times New Roman" w:cs="Times New Roman" w:hint="default"/>
          <w:sz w:val="24"/>
          <w:szCs w:val="24"/>
        </w:rPr>
        <w:t>.</w:t>
      </w:r>
      <w:r w:rsidRPr="00346AC4">
        <w:rPr>
          <w:rFonts w:ascii="Times New Roman" w:hAnsi="Times New Roman" w:cs="Times New Roman"/>
          <w:sz w:val="24"/>
          <w:szCs w:val="24"/>
        </w:rPr>
        <w:t xml:space="preserve"> Adapting to online teaching d</w:t>
      </w:r>
      <w:r>
        <w:rPr>
          <w:rFonts w:ascii="Times New Roman" w:hAnsi="Times New Roman" w:cs="Times New Roman"/>
          <w:sz w:val="24"/>
          <w:szCs w:val="24"/>
        </w:rPr>
        <w:t>uring COVID-19 school closure: T</w:t>
      </w:r>
      <w:r w:rsidRPr="00346AC4">
        <w:rPr>
          <w:rFonts w:ascii="Times New Roman" w:hAnsi="Times New Roman" w:cs="Times New Roman"/>
          <w:sz w:val="24"/>
          <w:szCs w:val="24"/>
        </w:rPr>
        <w:t xml:space="preserve">eacher education </w:t>
      </w:r>
      <w:r w:rsidRPr="00346AC4">
        <w:rPr>
          <w:rFonts w:ascii="Times New Roman" w:hAnsi="Times New Roman" w:cs="Times New Roman"/>
          <w:sz w:val="24"/>
          <w:szCs w:val="24"/>
        </w:rPr>
        <w:lastRenderedPageBreak/>
        <w:t xml:space="preserve">and teacher competence effects among early career teachers in Germany, </w:t>
      </w:r>
      <w:r w:rsidRPr="00346AC4">
        <w:rPr>
          <w:rFonts w:ascii="Times New Roman" w:hAnsi="Times New Roman" w:cs="Times New Roman"/>
          <w:i/>
          <w:sz w:val="24"/>
          <w:szCs w:val="24"/>
        </w:rPr>
        <w:t>European Journal of Teacher Education, 43</w:t>
      </w:r>
      <w:r>
        <w:rPr>
          <w:rFonts w:ascii="Times New Roman" w:hAnsi="Times New Roman" w:cs="Times New Roman"/>
          <w:sz w:val="24"/>
          <w:szCs w:val="24"/>
        </w:rPr>
        <w:t>(</w:t>
      </w:r>
      <w:r w:rsidRPr="00346AC4">
        <w:rPr>
          <w:rFonts w:ascii="Times New Roman" w:hAnsi="Times New Roman" w:cs="Times New Roman"/>
          <w:sz w:val="24"/>
          <w:szCs w:val="24"/>
        </w:rPr>
        <w:t>4</w:t>
      </w:r>
      <w:r>
        <w:rPr>
          <w:rFonts w:ascii="Times New Roman" w:hAnsi="Times New Roman" w:cs="Times New Roman" w:hint="default"/>
          <w:sz w:val="24"/>
          <w:szCs w:val="24"/>
        </w:rPr>
        <w:t>)</w:t>
      </w:r>
      <w:r w:rsidRPr="00346AC4">
        <w:rPr>
          <w:rFonts w:ascii="Times New Roman" w:hAnsi="Times New Roman" w:cs="Times New Roman"/>
          <w:sz w:val="24"/>
          <w:szCs w:val="24"/>
        </w:rPr>
        <w:t>, 608-622, DOI: 10.1080/02619768.2020.1809650</w:t>
      </w:r>
    </w:p>
    <w:p w14:paraId="686EA431" w14:textId="05D72FC1" w:rsidR="00346AC4" w:rsidRDefault="00346AC4" w:rsidP="00346AC4">
      <w:pPr>
        <w:spacing w:line="240" w:lineRule="auto"/>
        <w:rPr>
          <w:rFonts w:ascii="Times New Roman" w:hAnsi="Times New Roman" w:cs="Times New Roman" w:hint="default"/>
          <w:sz w:val="24"/>
          <w:szCs w:val="24"/>
        </w:rPr>
      </w:pPr>
      <w:r w:rsidRPr="00346AC4">
        <w:rPr>
          <w:rFonts w:ascii="Times New Roman" w:hAnsi="Times New Roman" w:cs="Times New Roman"/>
          <w:sz w:val="24"/>
          <w:szCs w:val="24"/>
        </w:rPr>
        <w:t xml:space="preserve"> </w:t>
      </w:r>
    </w:p>
    <w:p w14:paraId="384FFB33" w14:textId="468787A6" w:rsidR="004D6F0E" w:rsidRDefault="004D6F0E" w:rsidP="004D6F0E">
      <w:pPr>
        <w:spacing w:line="240" w:lineRule="auto"/>
        <w:rPr>
          <w:rFonts w:ascii="Times New Roman" w:hAnsi="Times New Roman" w:cs="Times New Roman" w:hint="default"/>
          <w:sz w:val="24"/>
          <w:szCs w:val="24"/>
          <w:lang w:val="en-NZ"/>
        </w:rPr>
      </w:pPr>
      <w:r w:rsidRPr="004D6F0E">
        <w:rPr>
          <w:rFonts w:ascii="Times New Roman" w:hAnsi="Times New Roman" w:cs="Times New Roman" w:hint="default"/>
          <w:sz w:val="24"/>
          <w:szCs w:val="24"/>
          <w:lang w:val="en-NZ"/>
        </w:rPr>
        <w:t xml:space="preserve">Merry, S. N., Cargo, T., Christie, G., Donkin, L., Hetrick, S., Fleming, T., . . . Warren, J. (2020). Debate: Supporting the mental health of school students in the COVID‐19 pandemic in New Zealand–a digital ecosystem approach. </w:t>
      </w:r>
      <w:r w:rsidRPr="004D6F0E">
        <w:rPr>
          <w:rFonts w:ascii="Times New Roman" w:hAnsi="Times New Roman" w:cs="Times New Roman" w:hint="default"/>
          <w:i/>
          <w:iCs/>
          <w:sz w:val="24"/>
          <w:szCs w:val="24"/>
          <w:lang w:val="en-NZ"/>
        </w:rPr>
        <w:t>Child and adolescent mental health, 25</w:t>
      </w:r>
      <w:r w:rsidRPr="004D6F0E">
        <w:rPr>
          <w:rFonts w:ascii="Times New Roman" w:hAnsi="Times New Roman" w:cs="Times New Roman" w:hint="default"/>
          <w:sz w:val="24"/>
          <w:szCs w:val="24"/>
          <w:lang w:val="en-NZ"/>
        </w:rPr>
        <w:t>(4), 267-269</w:t>
      </w:r>
      <w:r w:rsidR="005C0E5F">
        <w:rPr>
          <w:rFonts w:ascii="Times New Roman" w:hAnsi="Times New Roman" w:cs="Times New Roman" w:hint="default"/>
          <w:sz w:val="24"/>
          <w:szCs w:val="24"/>
          <w:lang w:val="en-NZ"/>
        </w:rPr>
        <w:t>, DOI:</w:t>
      </w:r>
      <w:r w:rsidR="005C0E5F" w:rsidRPr="005C0E5F">
        <w:t xml:space="preserve"> </w:t>
      </w:r>
      <w:hyperlink r:id="rId12" w:history="1">
        <w:r w:rsidR="005C0E5F">
          <w:rPr>
            <w:rStyle w:val="Hyperlink"/>
            <w:rFonts w:ascii="Arial" w:hAnsi="Arial" w:hint="eastAsia"/>
            <w:b/>
            <w:bCs/>
            <w:color w:val="005274"/>
            <w:sz w:val="21"/>
            <w:szCs w:val="21"/>
            <w:shd w:val="clear" w:color="auto" w:fill="FFFFFF"/>
          </w:rPr>
          <w:t>doi.org/10.1111/camh.12429</w:t>
        </w:r>
      </w:hyperlink>
      <w:r w:rsidRPr="004D6F0E">
        <w:rPr>
          <w:rFonts w:ascii="Times New Roman" w:hAnsi="Times New Roman" w:cs="Times New Roman" w:hint="default"/>
          <w:sz w:val="24"/>
          <w:szCs w:val="24"/>
          <w:lang w:val="en-NZ"/>
        </w:rPr>
        <w:t xml:space="preserve">. </w:t>
      </w:r>
    </w:p>
    <w:p w14:paraId="05828AEF" w14:textId="7C189D15" w:rsidR="004D6F0E" w:rsidRDefault="004D6F0E" w:rsidP="004D6F0E">
      <w:pPr>
        <w:spacing w:line="240" w:lineRule="auto"/>
        <w:rPr>
          <w:rFonts w:ascii="Times New Roman" w:hAnsi="Times New Roman" w:cs="Times New Roman" w:hint="default"/>
          <w:sz w:val="24"/>
          <w:szCs w:val="24"/>
          <w:lang w:val="en-NZ"/>
        </w:rPr>
      </w:pPr>
    </w:p>
    <w:p w14:paraId="3755A243" w14:textId="094BED58" w:rsidR="00872A07" w:rsidRDefault="00872A07" w:rsidP="004D6F0E">
      <w:pPr>
        <w:spacing w:line="240" w:lineRule="auto"/>
        <w:rPr>
          <w:rStyle w:val="Hyperlink"/>
          <w:rFonts w:ascii="Times New Roman" w:hAnsi="Times New Roman" w:hint="eastAsia"/>
          <w:lang w:val="en-NZ"/>
        </w:rPr>
      </w:pPr>
      <w:r w:rsidRPr="00872A07">
        <w:rPr>
          <w:rFonts w:ascii="Times New Roman" w:hAnsi="Times New Roman" w:cs="Times New Roman" w:hint="default"/>
          <w:sz w:val="24"/>
          <w:szCs w:val="24"/>
          <w:lang w:val="en-NZ"/>
        </w:rPr>
        <w:t xml:space="preserve">Ministry of Education. (2007). The New Zealand Curriculum. Retrieved from </w:t>
      </w:r>
      <w:hyperlink r:id="rId13" w:history="1">
        <w:r w:rsidR="00C372C6" w:rsidRPr="00F10CDD">
          <w:rPr>
            <w:rStyle w:val="Hyperlink"/>
            <w:rFonts w:ascii="Times New Roman" w:hAnsi="Times New Roman" w:hint="eastAsia"/>
            <w:lang w:val="en-NZ"/>
          </w:rPr>
          <w:t>https://nzcurriculum.tki.org.nz/The-New-Zealand-Curriculum</w:t>
        </w:r>
      </w:hyperlink>
    </w:p>
    <w:p w14:paraId="40DCF45A" w14:textId="60242218" w:rsidR="00F11875" w:rsidRDefault="00F11875" w:rsidP="004D6F0E">
      <w:pPr>
        <w:spacing w:line="240" w:lineRule="auto"/>
        <w:rPr>
          <w:rFonts w:ascii="Times New Roman" w:hAnsi="Times New Roman" w:cs="Times New Roman" w:hint="default"/>
          <w:sz w:val="24"/>
          <w:szCs w:val="24"/>
          <w:lang w:val="en-NZ"/>
        </w:rPr>
      </w:pPr>
    </w:p>
    <w:p w14:paraId="0C356E40" w14:textId="77777777" w:rsidR="00F11875" w:rsidRPr="00F11875" w:rsidRDefault="00F11875" w:rsidP="00F11875">
      <w:pPr>
        <w:spacing w:line="240" w:lineRule="auto"/>
        <w:rPr>
          <w:rFonts w:ascii="Times New Roman" w:hAnsi="Times New Roman" w:cs="Times New Roman" w:hint="default"/>
          <w:sz w:val="24"/>
          <w:szCs w:val="24"/>
          <w:lang w:val="en-NZ"/>
        </w:rPr>
      </w:pPr>
      <w:r w:rsidRPr="00F11875">
        <w:rPr>
          <w:rFonts w:ascii="Times New Roman" w:hAnsi="Times New Roman" w:cs="Times New Roman"/>
          <w:sz w:val="24"/>
          <w:szCs w:val="24"/>
          <w:lang w:val="mi-NZ"/>
        </w:rPr>
        <w:t xml:space="preserve">Minstry of Education. (2018). </w:t>
      </w:r>
      <w:r w:rsidRPr="00F11875">
        <w:rPr>
          <w:rFonts w:ascii="Times New Roman" w:hAnsi="Times New Roman" w:cs="Times New Roman"/>
          <w:i/>
          <w:iCs/>
          <w:sz w:val="24"/>
          <w:szCs w:val="24"/>
          <w:lang w:val="mi-NZ"/>
        </w:rPr>
        <w:t>The New Zealand Curriculum</w:t>
      </w:r>
      <w:r w:rsidRPr="00F11875">
        <w:rPr>
          <w:rFonts w:ascii="Times New Roman" w:hAnsi="Times New Roman" w:cs="Times New Roman"/>
          <w:sz w:val="24"/>
          <w:szCs w:val="24"/>
          <w:lang w:val="mi-NZ"/>
        </w:rPr>
        <w:t xml:space="preserve">. Retrieved from: </w:t>
      </w:r>
      <w:hyperlink r:id="rId14" w:history="1">
        <w:r w:rsidRPr="00F11875">
          <w:rPr>
            <w:rStyle w:val="Hyperlink"/>
            <w:rFonts w:ascii="Times New Roman" w:hAnsi="Times New Roman" w:hint="eastAsia"/>
            <w:lang w:val="mi-NZ"/>
          </w:rPr>
          <w:t>https://</w:t>
        </w:r>
      </w:hyperlink>
      <w:hyperlink r:id="rId15" w:history="1">
        <w:r w:rsidRPr="00F11875">
          <w:rPr>
            <w:rStyle w:val="Hyperlink"/>
            <w:rFonts w:ascii="Times New Roman" w:hAnsi="Times New Roman" w:hint="eastAsia"/>
            <w:lang w:val="mi-NZ"/>
          </w:rPr>
          <w:t>nzcurriculum.tki.org.nz/The-New-Zealand-Curriculum/Technology</w:t>
        </w:r>
      </w:hyperlink>
    </w:p>
    <w:p w14:paraId="5D6F6648" w14:textId="77777777" w:rsidR="00872A07" w:rsidRDefault="00872A07" w:rsidP="004D6F0E">
      <w:pPr>
        <w:spacing w:line="240" w:lineRule="auto"/>
        <w:rPr>
          <w:rFonts w:ascii="Times New Roman" w:hAnsi="Times New Roman" w:cs="Times New Roman" w:hint="default"/>
          <w:sz w:val="24"/>
          <w:szCs w:val="24"/>
          <w:lang w:val="en-NZ"/>
        </w:rPr>
      </w:pPr>
      <w:bookmarkStart w:id="0" w:name="_GoBack"/>
      <w:bookmarkEnd w:id="0"/>
    </w:p>
    <w:p w14:paraId="574F198D" w14:textId="6B3EA5E6" w:rsidR="004D6F0E" w:rsidRDefault="004D6F0E" w:rsidP="004D6F0E">
      <w:pPr>
        <w:spacing w:line="240" w:lineRule="auto"/>
        <w:rPr>
          <w:rFonts w:ascii="Times New Roman" w:hAnsi="Times New Roman" w:cs="Times New Roman" w:hint="default"/>
          <w:sz w:val="24"/>
          <w:szCs w:val="24"/>
          <w:lang w:val="en-NZ"/>
        </w:rPr>
      </w:pPr>
      <w:r w:rsidRPr="004D6F0E">
        <w:rPr>
          <w:rFonts w:ascii="Times New Roman" w:hAnsi="Times New Roman" w:cs="Times New Roman" w:hint="default"/>
          <w:sz w:val="24"/>
          <w:szCs w:val="24"/>
          <w:lang w:val="en-NZ"/>
        </w:rPr>
        <w:t xml:space="preserve">Starkey, L. (2020). A review of research exploring teacher preparation for the digital age. </w:t>
      </w:r>
      <w:r w:rsidRPr="004D6F0E">
        <w:rPr>
          <w:rFonts w:ascii="Times New Roman" w:hAnsi="Times New Roman" w:cs="Times New Roman" w:hint="default"/>
          <w:i/>
          <w:sz w:val="24"/>
          <w:szCs w:val="24"/>
          <w:lang w:val="en-NZ"/>
        </w:rPr>
        <w:t>Cambridge Journal of Education, 50</w:t>
      </w:r>
      <w:r w:rsidRPr="004D6F0E">
        <w:rPr>
          <w:rFonts w:ascii="Times New Roman" w:hAnsi="Times New Roman" w:cs="Times New Roman" w:hint="default"/>
          <w:sz w:val="24"/>
          <w:szCs w:val="24"/>
          <w:lang w:val="en-NZ"/>
        </w:rPr>
        <w:t>(1), 37-56. doi:10.1080/0305764X.2019.1625867</w:t>
      </w:r>
    </w:p>
    <w:p w14:paraId="37905F72" w14:textId="77777777" w:rsidR="004D6F0E" w:rsidRPr="004D6F0E" w:rsidRDefault="004D6F0E" w:rsidP="004D6F0E">
      <w:pPr>
        <w:spacing w:line="240" w:lineRule="auto"/>
        <w:rPr>
          <w:rFonts w:ascii="Times New Roman" w:hAnsi="Times New Roman" w:cs="Times New Roman" w:hint="default"/>
          <w:sz w:val="24"/>
          <w:szCs w:val="24"/>
          <w:lang w:val="en-NZ"/>
        </w:rPr>
      </w:pPr>
    </w:p>
    <w:p w14:paraId="3F4C4E00" w14:textId="102E6C8F" w:rsidR="00172F48" w:rsidRDefault="00172F48" w:rsidP="00172F48">
      <w:pPr>
        <w:spacing w:line="240" w:lineRule="auto"/>
        <w:rPr>
          <w:rFonts w:ascii="Times New Roman" w:hAnsi="Times New Roman" w:cs="Times New Roman" w:hint="default"/>
          <w:sz w:val="24"/>
          <w:szCs w:val="24"/>
          <w:lang w:val="en-NZ"/>
        </w:rPr>
      </w:pPr>
      <w:r w:rsidRPr="00172F48">
        <w:rPr>
          <w:rFonts w:ascii="Times New Roman" w:hAnsi="Times New Roman" w:cs="Times New Roman" w:hint="default"/>
          <w:sz w:val="24"/>
          <w:szCs w:val="24"/>
          <w:lang w:val="en-NZ"/>
        </w:rPr>
        <w:t xml:space="preserve">Yates, A., Starkey, L., Egerton, B., &amp; Flueggen, F. (2020). High school students’ experience of online learning during Covid-19: the influence of technology and pedagogy. </w:t>
      </w:r>
      <w:r w:rsidRPr="00172F48">
        <w:rPr>
          <w:rFonts w:ascii="Times New Roman" w:hAnsi="Times New Roman" w:cs="Times New Roman" w:hint="default"/>
          <w:i/>
          <w:iCs/>
          <w:sz w:val="24"/>
          <w:szCs w:val="24"/>
          <w:lang w:val="en-NZ"/>
        </w:rPr>
        <w:t>Technology, Pedagogy and Education</w:t>
      </w:r>
      <w:r w:rsidRPr="00172F48">
        <w:rPr>
          <w:rFonts w:ascii="Times New Roman" w:hAnsi="Times New Roman" w:cs="Times New Roman" w:hint="default"/>
          <w:sz w:val="24"/>
          <w:szCs w:val="24"/>
          <w:lang w:val="en-NZ"/>
        </w:rPr>
        <w:t>, 1-15. doi:10.1080/1475939X.2020.1854337</w:t>
      </w:r>
    </w:p>
    <w:p w14:paraId="60076105" w14:textId="77777777" w:rsidR="00172F48" w:rsidRPr="00172F48" w:rsidRDefault="00172F48" w:rsidP="00172F48">
      <w:pPr>
        <w:spacing w:line="240" w:lineRule="auto"/>
        <w:rPr>
          <w:rFonts w:ascii="Times New Roman" w:hAnsi="Times New Roman" w:cs="Times New Roman" w:hint="default"/>
          <w:sz w:val="24"/>
          <w:szCs w:val="24"/>
          <w:lang w:val="en-NZ"/>
        </w:rPr>
      </w:pPr>
    </w:p>
    <w:p w14:paraId="7E2C4023" w14:textId="77777777" w:rsidR="00476AFF" w:rsidRDefault="00476AFF">
      <w:pPr>
        <w:rPr>
          <w:rFonts w:hint="default"/>
        </w:rPr>
      </w:pPr>
    </w:p>
    <w:sectPr w:rsidR="00476AFF">
      <w:type w:val="continuous"/>
      <w:pgSz w:w="12240" w:h="15840"/>
      <w:pgMar w:top="1440" w:right="1440" w:bottom="1440" w:left="1440" w:header="720" w:footer="720" w:gutter="0"/>
      <w:cols w:num="2" w:space="4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B54EA" w16cid:durableId="23EA2D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FB147" w14:textId="77777777" w:rsidR="00AE4018" w:rsidRDefault="00AE4018" w:rsidP="00AE4018">
      <w:pPr>
        <w:spacing w:line="240" w:lineRule="auto"/>
        <w:rPr>
          <w:rFonts w:hint="default"/>
        </w:rPr>
      </w:pPr>
      <w:r>
        <w:separator/>
      </w:r>
    </w:p>
  </w:endnote>
  <w:endnote w:type="continuationSeparator" w:id="0">
    <w:p w14:paraId="0AE523AE" w14:textId="77777777" w:rsidR="00AE4018" w:rsidRDefault="00AE4018" w:rsidP="00AE4018">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705550"/>
      <w:docPartObj>
        <w:docPartGallery w:val="Page Numbers (Bottom of Page)"/>
        <w:docPartUnique/>
      </w:docPartObj>
    </w:sdtPr>
    <w:sdtEndPr>
      <w:rPr>
        <w:noProof/>
      </w:rPr>
    </w:sdtEndPr>
    <w:sdtContent>
      <w:p w14:paraId="472D56A8" w14:textId="0B87C015" w:rsidR="00AE4018" w:rsidRDefault="00AE4018">
        <w:pPr>
          <w:pStyle w:val="Footer"/>
          <w:jc w:val="right"/>
          <w:rPr>
            <w:rFonts w:hint="default"/>
          </w:rPr>
        </w:pPr>
        <w:r>
          <w:fldChar w:fldCharType="begin"/>
        </w:r>
        <w:r>
          <w:instrText xml:space="preserve"> PAGE   \* MERGEFORMAT </w:instrText>
        </w:r>
        <w:r>
          <w:fldChar w:fldCharType="separate"/>
        </w:r>
        <w:r w:rsidR="00F11875">
          <w:rPr>
            <w:rFonts w:hint="default"/>
            <w:noProof/>
          </w:rPr>
          <w:t>1</w:t>
        </w:r>
        <w:r>
          <w:rPr>
            <w:noProof/>
          </w:rPr>
          <w:fldChar w:fldCharType="end"/>
        </w:r>
      </w:p>
    </w:sdtContent>
  </w:sdt>
  <w:p w14:paraId="7951F5DE" w14:textId="77777777" w:rsidR="00AE4018" w:rsidRDefault="00AE4018">
    <w:pPr>
      <w:pStyle w:val="Foo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380C4" w14:textId="77777777" w:rsidR="00AE4018" w:rsidRDefault="00AE4018" w:rsidP="00AE4018">
      <w:pPr>
        <w:spacing w:line="240" w:lineRule="auto"/>
        <w:rPr>
          <w:rFonts w:hint="default"/>
        </w:rPr>
      </w:pPr>
      <w:r>
        <w:separator/>
      </w:r>
    </w:p>
  </w:footnote>
  <w:footnote w:type="continuationSeparator" w:id="0">
    <w:p w14:paraId="61B86D92" w14:textId="77777777" w:rsidR="00AE4018" w:rsidRDefault="00AE4018" w:rsidP="00AE4018">
      <w:pPr>
        <w:spacing w:line="240" w:lineRule="auto"/>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9.55pt;height:396pt" o:bullet="t">
        <v:imagedata r:id="rId1" o:title="art9CE2"/>
      </v:shape>
    </w:pict>
  </w:numPicBullet>
  <w:abstractNum w:abstractNumId="0" w15:restartNumberingAfterBreak="0">
    <w:nsid w:val="14B50CA9"/>
    <w:multiLevelType w:val="multilevel"/>
    <w:tmpl w:val="14B50CA9"/>
    <w:lvl w:ilvl="0">
      <w:numFmt w:val="bullet"/>
      <w:lvlText w:val="-"/>
      <w:lvlJc w:val="left"/>
      <w:pPr>
        <w:ind w:left="720" w:hanging="360"/>
      </w:pPr>
      <w:rPr>
        <w:rFonts w:ascii="Calibri" w:eastAsia="Calibri" w:hAnsi="Calibri" w:hint="default"/>
      </w:rPr>
    </w:lvl>
    <w:lvl w:ilvl="1">
      <w:start w:val="1"/>
      <w:numFmt w:val="bullet"/>
      <w:lvlText w:val="o"/>
      <w:lvlJc w:val="left"/>
      <w:pPr>
        <w:ind w:left="1440" w:hanging="360"/>
      </w:pPr>
      <w:rPr>
        <w:rFonts w:asci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A397AEB"/>
    <w:multiLevelType w:val="multilevel"/>
    <w:tmpl w:val="5A397AEB"/>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5A"/>
    <w:rsid w:val="00145CAD"/>
    <w:rsid w:val="00172F48"/>
    <w:rsid w:val="001A681F"/>
    <w:rsid w:val="00346AC4"/>
    <w:rsid w:val="00395709"/>
    <w:rsid w:val="003B34BB"/>
    <w:rsid w:val="003F105A"/>
    <w:rsid w:val="003F169E"/>
    <w:rsid w:val="00476AFF"/>
    <w:rsid w:val="004D6F0E"/>
    <w:rsid w:val="004E0A80"/>
    <w:rsid w:val="005219C2"/>
    <w:rsid w:val="005809E7"/>
    <w:rsid w:val="005C0E5F"/>
    <w:rsid w:val="00740FA5"/>
    <w:rsid w:val="00835925"/>
    <w:rsid w:val="00872A07"/>
    <w:rsid w:val="008851FC"/>
    <w:rsid w:val="00902193"/>
    <w:rsid w:val="0098551D"/>
    <w:rsid w:val="009D4227"/>
    <w:rsid w:val="009E3645"/>
    <w:rsid w:val="00A507D6"/>
    <w:rsid w:val="00A64984"/>
    <w:rsid w:val="00A71AC0"/>
    <w:rsid w:val="00AE4018"/>
    <w:rsid w:val="00B07FBA"/>
    <w:rsid w:val="00BE5948"/>
    <w:rsid w:val="00C052CD"/>
    <w:rsid w:val="00C103CF"/>
    <w:rsid w:val="00C372C6"/>
    <w:rsid w:val="00D627CD"/>
    <w:rsid w:val="00D87092"/>
    <w:rsid w:val="00DA14B7"/>
    <w:rsid w:val="00DF036D"/>
    <w:rsid w:val="00E54E94"/>
    <w:rsid w:val="00E817E4"/>
    <w:rsid w:val="00EF212B"/>
    <w:rsid w:val="00F11875"/>
    <w:rsid w:val="00F43A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36C354"/>
  <w15:docId w15:val="{4147EBB0-B8F3-48BC-86A5-4ADFDCBF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7D6"/>
    <w:pPr>
      <w:spacing w:after="0" w:line="360" w:lineRule="auto"/>
    </w:pPr>
    <w:rPr>
      <w:rFonts w:ascii="Calibri" w:eastAsia="Calibri" w:hAnsi="Calibri" w:cs="Arial" w:hint="eastAsia"/>
      <w:lang w:val="en-US"/>
    </w:rPr>
  </w:style>
  <w:style w:type="paragraph" w:styleId="Heading2">
    <w:name w:val="heading 2"/>
    <w:basedOn w:val="Normal"/>
    <w:next w:val="Normal"/>
    <w:link w:val="Heading2Char"/>
    <w:uiPriority w:val="9"/>
    <w:semiHidden/>
    <w:unhideWhenUsed/>
    <w:qFormat/>
    <w:rsid w:val="00A507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507D6"/>
    <w:rPr>
      <w:rFonts w:cs="Times New Roman" w:hint="default"/>
      <w:color w:val="0000FF"/>
      <w:sz w:val="24"/>
      <w:szCs w:val="24"/>
      <w:u w:val="single"/>
    </w:rPr>
  </w:style>
  <w:style w:type="paragraph" w:customStyle="1" w:styleId="fulldept">
    <w:name w:val="full_dept"/>
    <w:basedOn w:val="Normal"/>
    <w:link w:val="fulldeptChar"/>
    <w:unhideWhenUsed/>
    <w:qFormat/>
    <w:rsid w:val="00A507D6"/>
    <w:pPr>
      <w:spacing w:line="240" w:lineRule="auto"/>
      <w:ind w:left="567" w:right="567"/>
      <w:jc w:val="center"/>
    </w:pPr>
    <w:rPr>
      <w:rFonts w:ascii="Times New Roman" w:eastAsia="MS Mincho" w:hAnsi="Times New Roman" w:cs="Times New Roman" w:hint="default"/>
      <w:color w:val="221F1F"/>
      <w:spacing w:val="-1"/>
      <w:sz w:val="20"/>
      <w:szCs w:val="20"/>
      <w:vertAlign w:val="superscript"/>
      <w:lang w:val="id-ID"/>
    </w:rPr>
  </w:style>
  <w:style w:type="character" w:customStyle="1" w:styleId="fulldeptChar">
    <w:name w:val="full_dept Char"/>
    <w:link w:val="fulldept"/>
    <w:unhideWhenUsed/>
    <w:locked/>
    <w:rsid w:val="00A507D6"/>
    <w:rPr>
      <w:rFonts w:ascii="Times New Roman" w:eastAsia="MS Mincho" w:hAnsi="Times New Roman" w:cs="Times New Roman"/>
      <w:color w:val="221F1F"/>
      <w:spacing w:val="-1"/>
      <w:sz w:val="20"/>
      <w:szCs w:val="20"/>
      <w:vertAlign w:val="superscript"/>
      <w:lang w:val="id-ID"/>
    </w:rPr>
  </w:style>
  <w:style w:type="paragraph" w:customStyle="1" w:styleId="fullsubtitle">
    <w:name w:val="full_subtitle"/>
    <w:basedOn w:val="Normal"/>
    <w:link w:val="fullsubtitleChar"/>
    <w:unhideWhenUsed/>
    <w:qFormat/>
    <w:rsid w:val="00A507D6"/>
    <w:pPr>
      <w:spacing w:before="120" w:after="120" w:line="240" w:lineRule="auto"/>
      <w:jc w:val="center"/>
    </w:pPr>
    <w:rPr>
      <w:rFonts w:ascii="Times New Roman" w:eastAsia="MS Mincho" w:hAnsi="Times New Roman" w:cs="Times New Roman" w:hint="default"/>
      <w:sz w:val="28"/>
      <w:szCs w:val="28"/>
      <w:lang w:val="id-ID"/>
    </w:rPr>
  </w:style>
  <w:style w:type="character" w:customStyle="1" w:styleId="fullsubtitleChar">
    <w:name w:val="full_subtitle Char"/>
    <w:link w:val="fullsubtitle"/>
    <w:unhideWhenUsed/>
    <w:locked/>
    <w:rsid w:val="00A507D6"/>
    <w:rPr>
      <w:rFonts w:ascii="Times New Roman" w:eastAsia="MS Mincho" w:hAnsi="Times New Roman" w:cs="Times New Roman"/>
      <w:sz w:val="28"/>
      <w:szCs w:val="28"/>
      <w:lang w:val="id-ID"/>
    </w:rPr>
  </w:style>
  <w:style w:type="paragraph" w:customStyle="1" w:styleId="fulltitle">
    <w:name w:val="full_title"/>
    <w:basedOn w:val="Heading2"/>
    <w:link w:val="fulltitleChar"/>
    <w:unhideWhenUsed/>
    <w:qFormat/>
    <w:rsid w:val="00A507D6"/>
    <w:pPr>
      <w:spacing w:before="240" w:after="60" w:line="240" w:lineRule="auto"/>
      <w:ind w:left="567" w:right="567"/>
      <w:jc w:val="center"/>
    </w:pPr>
    <w:rPr>
      <w:rFonts w:ascii="Cambria" w:eastAsia="Calibri" w:hAnsi="Calibri" w:cs="Times New Roman" w:hint="default"/>
      <w:bCs w:val="0"/>
      <w:color w:val="4F81BD"/>
      <w:sz w:val="28"/>
      <w:szCs w:val="24"/>
      <w:lang w:val="id-ID"/>
    </w:rPr>
  </w:style>
  <w:style w:type="character" w:customStyle="1" w:styleId="fulltitleChar">
    <w:name w:val="full_title Char"/>
    <w:link w:val="fulltitle"/>
    <w:unhideWhenUsed/>
    <w:locked/>
    <w:rsid w:val="00A507D6"/>
    <w:rPr>
      <w:rFonts w:ascii="Cambria" w:eastAsia="Calibri" w:hAnsi="Calibri" w:cs="Times New Roman"/>
      <w:b/>
      <w:color w:val="4F81BD"/>
      <w:sz w:val="28"/>
      <w:szCs w:val="24"/>
      <w:lang w:val="id-ID"/>
    </w:rPr>
  </w:style>
  <w:style w:type="paragraph" w:customStyle="1" w:styleId="fullContent">
    <w:name w:val="full_Content"/>
    <w:basedOn w:val="Normal"/>
    <w:link w:val="fullContentChar"/>
    <w:unhideWhenUsed/>
    <w:qFormat/>
    <w:rsid w:val="00A507D6"/>
    <w:pPr>
      <w:tabs>
        <w:tab w:val="left" w:pos="567"/>
      </w:tabs>
      <w:spacing w:after="240" w:line="240" w:lineRule="auto"/>
      <w:ind w:right="261"/>
      <w:jc w:val="both"/>
    </w:pPr>
    <w:rPr>
      <w:rFonts w:ascii="Times New Roman" w:hAnsi="Times New Roman" w:cs="Times New Roman" w:hint="default"/>
      <w:sz w:val="24"/>
      <w:szCs w:val="24"/>
      <w:lang w:val="id-ID"/>
    </w:rPr>
  </w:style>
  <w:style w:type="character" w:customStyle="1" w:styleId="fullContentChar">
    <w:name w:val="full_Content Char"/>
    <w:link w:val="fullContent"/>
    <w:unhideWhenUsed/>
    <w:locked/>
    <w:rsid w:val="00A507D6"/>
    <w:rPr>
      <w:rFonts w:ascii="Times New Roman" w:eastAsia="Calibri" w:hAnsi="Times New Roman" w:cs="Times New Roman"/>
      <w:sz w:val="24"/>
      <w:szCs w:val="24"/>
      <w:lang w:val="id-ID"/>
    </w:rPr>
  </w:style>
  <w:style w:type="paragraph" w:customStyle="1" w:styleId="fullTitleAbtract">
    <w:name w:val="full_TitleAbtract"/>
    <w:basedOn w:val="Normal"/>
    <w:link w:val="fullTitleAbtractChar"/>
    <w:unhideWhenUsed/>
    <w:qFormat/>
    <w:rsid w:val="00A507D6"/>
    <w:pPr>
      <w:ind w:left="567" w:right="567"/>
      <w:jc w:val="center"/>
    </w:pPr>
    <w:rPr>
      <w:rFonts w:ascii="Times New Roman" w:hAnsi="Times New Roman" w:cs="Times New Roman" w:hint="default"/>
      <w:b/>
      <w:sz w:val="24"/>
      <w:szCs w:val="24"/>
      <w:lang w:val="id-ID"/>
    </w:rPr>
  </w:style>
  <w:style w:type="character" w:customStyle="1" w:styleId="fullTitleAbtractChar">
    <w:name w:val="full_TitleAbtract Char"/>
    <w:link w:val="fullTitleAbtract"/>
    <w:unhideWhenUsed/>
    <w:locked/>
    <w:rsid w:val="00A507D6"/>
    <w:rPr>
      <w:rFonts w:ascii="Times New Roman" w:eastAsia="Calibri" w:hAnsi="Times New Roman" w:cs="Times New Roman"/>
      <w:b/>
      <w:sz w:val="24"/>
      <w:szCs w:val="24"/>
      <w:lang w:val="id-ID"/>
    </w:rPr>
  </w:style>
  <w:style w:type="paragraph" w:customStyle="1" w:styleId="fullTitleContent">
    <w:name w:val="full_TitleContent"/>
    <w:basedOn w:val="Normal"/>
    <w:link w:val="fullTitleContentChar"/>
    <w:unhideWhenUsed/>
    <w:qFormat/>
    <w:rsid w:val="00A507D6"/>
    <w:pPr>
      <w:spacing w:line="240" w:lineRule="auto"/>
      <w:ind w:right="261"/>
      <w:jc w:val="both"/>
    </w:pPr>
    <w:rPr>
      <w:rFonts w:ascii="Times New Roman" w:hAnsi="Times New Roman" w:cs="Times New Roman" w:hint="default"/>
      <w:b/>
      <w:sz w:val="24"/>
      <w:szCs w:val="24"/>
      <w:lang w:val="id-ID"/>
    </w:rPr>
  </w:style>
  <w:style w:type="character" w:customStyle="1" w:styleId="fullTitleContentChar">
    <w:name w:val="full_TitleContent Char"/>
    <w:link w:val="fullTitleContent"/>
    <w:unhideWhenUsed/>
    <w:locked/>
    <w:rsid w:val="00A507D6"/>
    <w:rPr>
      <w:rFonts w:ascii="Times New Roman" w:eastAsia="Calibri" w:hAnsi="Times New Roman" w:cs="Times New Roman"/>
      <w:b/>
      <w:sz w:val="24"/>
      <w:szCs w:val="24"/>
      <w:lang w:val="id-ID"/>
    </w:rPr>
  </w:style>
  <w:style w:type="paragraph" w:customStyle="1" w:styleId="fullabstract">
    <w:name w:val="full_abstract"/>
    <w:basedOn w:val="Normal"/>
    <w:link w:val="fullabstractChar"/>
    <w:unhideWhenUsed/>
    <w:qFormat/>
    <w:rsid w:val="00A507D6"/>
    <w:pPr>
      <w:spacing w:line="240" w:lineRule="auto"/>
      <w:ind w:left="567" w:right="567"/>
      <w:jc w:val="both"/>
    </w:pPr>
    <w:rPr>
      <w:rFonts w:ascii="Times New Roman" w:hAnsi="Times New Roman" w:cs="Times New Roman" w:hint="default"/>
      <w:sz w:val="20"/>
      <w:szCs w:val="20"/>
      <w:lang w:val="id-ID"/>
    </w:rPr>
  </w:style>
  <w:style w:type="character" w:customStyle="1" w:styleId="fullabstractChar">
    <w:name w:val="full_abstract Char"/>
    <w:link w:val="fullabstract"/>
    <w:unhideWhenUsed/>
    <w:locked/>
    <w:rsid w:val="00A507D6"/>
    <w:rPr>
      <w:rFonts w:ascii="Times New Roman" w:eastAsia="Calibri" w:hAnsi="Times New Roman" w:cs="Times New Roman"/>
      <w:sz w:val="20"/>
      <w:szCs w:val="20"/>
      <w:lang w:val="id-ID"/>
    </w:rPr>
  </w:style>
  <w:style w:type="paragraph" w:customStyle="1" w:styleId="fullauthor">
    <w:name w:val="full_author"/>
    <w:basedOn w:val="Normal"/>
    <w:link w:val="fullauthorChar"/>
    <w:unhideWhenUsed/>
    <w:qFormat/>
    <w:rsid w:val="00A507D6"/>
    <w:pPr>
      <w:spacing w:line="240" w:lineRule="auto"/>
      <w:jc w:val="center"/>
    </w:pPr>
    <w:rPr>
      <w:rFonts w:ascii="Times New Roman" w:eastAsia="MS Mincho" w:hAnsi="Times New Roman" w:cs="Times New Roman" w:hint="default"/>
      <w:lang w:val="id-ID"/>
    </w:rPr>
  </w:style>
  <w:style w:type="character" w:customStyle="1" w:styleId="fullauthorChar">
    <w:name w:val="full_author Char"/>
    <w:link w:val="fullauthor"/>
    <w:unhideWhenUsed/>
    <w:locked/>
    <w:rsid w:val="00A507D6"/>
    <w:rPr>
      <w:rFonts w:ascii="Times New Roman" w:eastAsia="MS Mincho" w:hAnsi="Times New Roman" w:cs="Times New Roman"/>
      <w:lang w:val="id-ID"/>
    </w:rPr>
  </w:style>
  <w:style w:type="paragraph" w:styleId="ListParagraph">
    <w:name w:val="List Paragraph"/>
    <w:basedOn w:val="Normal"/>
    <w:uiPriority w:val="34"/>
    <w:qFormat/>
    <w:rsid w:val="00A507D6"/>
    <w:pPr>
      <w:ind w:left="720"/>
    </w:pPr>
  </w:style>
  <w:style w:type="character" w:customStyle="1" w:styleId="Heading2Char">
    <w:name w:val="Heading 2 Char"/>
    <w:basedOn w:val="DefaultParagraphFont"/>
    <w:link w:val="Heading2"/>
    <w:uiPriority w:val="9"/>
    <w:semiHidden/>
    <w:rsid w:val="00A507D6"/>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A507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7D6"/>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A64984"/>
    <w:rPr>
      <w:sz w:val="16"/>
      <w:szCs w:val="16"/>
    </w:rPr>
  </w:style>
  <w:style w:type="paragraph" w:styleId="CommentText">
    <w:name w:val="annotation text"/>
    <w:basedOn w:val="Normal"/>
    <w:link w:val="CommentTextChar"/>
    <w:uiPriority w:val="99"/>
    <w:semiHidden/>
    <w:unhideWhenUsed/>
    <w:rsid w:val="00A64984"/>
    <w:pPr>
      <w:spacing w:line="240" w:lineRule="auto"/>
    </w:pPr>
    <w:rPr>
      <w:sz w:val="20"/>
      <w:szCs w:val="20"/>
    </w:rPr>
  </w:style>
  <w:style w:type="character" w:customStyle="1" w:styleId="CommentTextChar">
    <w:name w:val="Comment Text Char"/>
    <w:basedOn w:val="DefaultParagraphFont"/>
    <w:link w:val="CommentText"/>
    <w:uiPriority w:val="99"/>
    <w:semiHidden/>
    <w:rsid w:val="00A64984"/>
    <w:rPr>
      <w:rFonts w:ascii="Calibri" w:eastAsia="Calibri" w:hAnsi="Calibri" w:cs="Arial"/>
      <w:sz w:val="20"/>
      <w:szCs w:val="20"/>
      <w:lang w:val="en-US"/>
    </w:rPr>
  </w:style>
  <w:style w:type="paragraph" w:styleId="CommentSubject">
    <w:name w:val="annotation subject"/>
    <w:basedOn w:val="CommentText"/>
    <w:next w:val="CommentText"/>
    <w:link w:val="CommentSubjectChar"/>
    <w:uiPriority w:val="99"/>
    <w:semiHidden/>
    <w:unhideWhenUsed/>
    <w:rsid w:val="00A64984"/>
    <w:rPr>
      <w:b/>
      <w:bCs/>
    </w:rPr>
  </w:style>
  <w:style w:type="character" w:customStyle="1" w:styleId="CommentSubjectChar">
    <w:name w:val="Comment Subject Char"/>
    <w:basedOn w:val="CommentTextChar"/>
    <w:link w:val="CommentSubject"/>
    <w:uiPriority w:val="99"/>
    <w:semiHidden/>
    <w:rsid w:val="00A64984"/>
    <w:rPr>
      <w:rFonts w:ascii="Calibri" w:eastAsia="Calibri" w:hAnsi="Calibri" w:cs="Arial"/>
      <w:b/>
      <w:bCs/>
      <w:sz w:val="20"/>
      <w:szCs w:val="20"/>
      <w:lang w:val="en-US"/>
    </w:rPr>
  </w:style>
  <w:style w:type="paragraph" w:styleId="Header">
    <w:name w:val="header"/>
    <w:basedOn w:val="Normal"/>
    <w:link w:val="HeaderChar"/>
    <w:uiPriority w:val="99"/>
    <w:unhideWhenUsed/>
    <w:rsid w:val="00AE4018"/>
    <w:pPr>
      <w:tabs>
        <w:tab w:val="center" w:pos="4513"/>
        <w:tab w:val="right" w:pos="9026"/>
      </w:tabs>
      <w:spacing w:line="240" w:lineRule="auto"/>
    </w:pPr>
  </w:style>
  <w:style w:type="character" w:customStyle="1" w:styleId="HeaderChar">
    <w:name w:val="Header Char"/>
    <w:basedOn w:val="DefaultParagraphFont"/>
    <w:link w:val="Header"/>
    <w:uiPriority w:val="99"/>
    <w:rsid w:val="00AE4018"/>
    <w:rPr>
      <w:rFonts w:ascii="Calibri" w:eastAsia="Calibri" w:hAnsi="Calibri" w:cs="Arial"/>
      <w:lang w:val="en-US"/>
    </w:rPr>
  </w:style>
  <w:style w:type="paragraph" w:styleId="Footer">
    <w:name w:val="footer"/>
    <w:basedOn w:val="Normal"/>
    <w:link w:val="FooterChar"/>
    <w:uiPriority w:val="99"/>
    <w:unhideWhenUsed/>
    <w:rsid w:val="00AE4018"/>
    <w:pPr>
      <w:tabs>
        <w:tab w:val="center" w:pos="4513"/>
        <w:tab w:val="right" w:pos="9026"/>
      </w:tabs>
      <w:spacing w:line="240" w:lineRule="auto"/>
    </w:pPr>
  </w:style>
  <w:style w:type="character" w:customStyle="1" w:styleId="FooterChar">
    <w:name w:val="Footer Char"/>
    <w:basedOn w:val="DefaultParagraphFont"/>
    <w:link w:val="Footer"/>
    <w:uiPriority w:val="99"/>
    <w:rsid w:val="00AE4018"/>
    <w:rPr>
      <w:rFonts w:ascii="Calibri" w:eastAsia="Calibri"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527701">
      <w:bodyDiv w:val="1"/>
      <w:marLeft w:val="0"/>
      <w:marRight w:val="0"/>
      <w:marTop w:val="0"/>
      <w:marBottom w:val="0"/>
      <w:divBdr>
        <w:top w:val="none" w:sz="0" w:space="0" w:color="auto"/>
        <w:left w:val="none" w:sz="0" w:space="0" w:color="auto"/>
        <w:bottom w:val="none" w:sz="0" w:space="0" w:color="auto"/>
        <w:right w:val="none" w:sz="0" w:space="0" w:color="auto"/>
      </w:divBdr>
      <w:divsChild>
        <w:div w:id="1167088537">
          <w:marLeft w:val="547"/>
          <w:marRight w:val="0"/>
          <w:marTop w:val="134"/>
          <w:marBottom w:val="0"/>
          <w:divBdr>
            <w:top w:val="none" w:sz="0" w:space="0" w:color="auto"/>
            <w:left w:val="none" w:sz="0" w:space="0" w:color="auto"/>
            <w:bottom w:val="none" w:sz="0" w:space="0" w:color="auto"/>
            <w:right w:val="none" w:sz="0" w:space="0" w:color="auto"/>
          </w:divBdr>
        </w:div>
        <w:div w:id="1710832873">
          <w:marLeft w:val="547"/>
          <w:marRight w:val="0"/>
          <w:marTop w:val="134"/>
          <w:marBottom w:val="0"/>
          <w:divBdr>
            <w:top w:val="none" w:sz="0" w:space="0" w:color="auto"/>
            <w:left w:val="none" w:sz="0" w:space="0" w:color="auto"/>
            <w:bottom w:val="none" w:sz="0" w:space="0" w:color="auto"/>
            <w:right w:val="none" w:sz="0" w:space="0" w:color="auto"/>
          </w:divBdr>
        </w:div>
        <w:div w:id="1709183986">
          <w:marLeft w:val="547"/>
          <w:marRight w:val="0"/>
          <w:marTop w:val="134"/>
          <w:marBottom w:val="0"/>
          <w:divBdr>
            <w:top w:val="none" w:sz="0" w:space="0" w:color="auto"/>
            <w:left w:val="none" w:sz="0" w:space="0" w:color="auto"/>
            <w:bottom w:val="none" w:sz="0" w:space="0" w:color="auto"/>
            <w:right w:val="none" w:sz="0" w:space="0" w:color="auto"/>
          </w:divBdr>
        </w:div>
        <w:div w:id="918908847">
          <w:marLeft w:val="547"/>
          <w:marRight w:val="0"/>
          <w:marTop w:val="134"/>
          <w:marBottom w:val="0"/>
          <w:divBdr>
            <w:top w:val="none" w:sz="0" w:space="0" w:color="auto"/>
            <w:left w:val="none" w:sz="0" w:space="0" w:color="auto"/>
            <w:bottom w:val="none" w:sz="0" w:space="0" w:color="auto"/>
            <w:right w:val="none" w:sz="0" w:space="0" w:color="auto"/>
          </w:divBdr>
        </w:div>
      </w:divsChild>
    </w:div>
    <w:div w:id="113182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zcurriculum.tki.org.nz/The-New-Zealand-Curriculum"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org/10.1111/camh.1242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07/s13384-020-00409-5" TargetMode="External"/><Relationship Id="rId5" Type="http://schemas.openxmlformats.org/officeDocument/2006/relationships/styles" Target="styles.xml"/><Relationship Id="rId15" Type="http://schemas.openxmlformats.org/officeDocument/2006/relationships/hyperlink" Target="https://nzcurriculum.tki.org.nz/The-New-Zealand-Curriculum/Technology" TargetMode="Externa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zcurriculum.tki.org.nz/The-New-Zealand-Curriculum/Technolog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20C21B4BCA12419CC10E555A2D1365" ma:contentTypeVersion="13" ma:contentTypeDescription="Create a new document." ma:contentTypeScope="" ma:versionID="c252c7247835f23d5c017bab6c46689e">
  <xsd:schema xmlns:xsd="http://www.w3.org/2001/XMLSchema" xmlns:xs="http://www.w3.org/2001/XMLSchema" xmlns:p="http://schemas.microsoft.com/office/2006/metadata/properties" xmlns:ns3="9a24a27e-1e05-402a-a0f5-b9f5a854239b" xmlns:ns4="818b6f25-e18d-4dbd-975b-1a6f9a9870a8" targetNamespace="http://schemas.microsoft.com/office/2006/metadata/properties" ma:root="true" ma:fieldsID="7671dba3250dfa65f9f6187c2a53dc1d" ns3:_="" ns4:_="">
    <xsd:import namespace="9a24a27e-1e05-402a-a0f5-b9f5a854239b"/>
    <xsd:import namespace="818b6f25-e18d-4dbd-975b-1a6f9a9870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4a27e-1e05-402a-a0f5-b9f5a85423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8b6f25-e18d-4dbd-975b-1a6f9a9870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77830E-1EEA-4CE0-8BE4-633015ECF05E}">
  <ds:schemaRefs>
    <ds:schemaRef ds:uri="http://purl.org/dc/elements/1.1/"/>
    <ds:schemaRef ds:uri="http://schemas.microsoft.com/office/2006/documentManagement/types"/>
    <ds:schemaRef ds:uri="818b6f25-e18d-4dbd-975b-1a6f9a9870a8"/>
    <ds:schemaRef ds:uri="http://purl.org/dc/terms/"/>
    <ds:schemaRef ds:uri="http://schemas.openxmlformats.org/package/2006/metadata/core-properties"/>
    <ds:schemaRef ds:uri="http://purl.org/dc/dcmitype/"/>
    <ds:schemaRef ds:uri="9a24a27e-1e05-402a-a0f5-b9f5a854239b"/>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9EF8C77-F847-4646-AF35-9343E7EA3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4a27e-1e05-402a-a0f5-b9f5a854239b"/>
    <ds:schemaRef ds:uri="818b6f25-e18d-4dbd-975b-1a6f9a987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7DCB7E-E5F6-4DA5-994C-8B538F74FD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Margaret Gleeson</cp:lastModifiedBy>
  <cp:revision>3</cp:revision>
  <dcterms:created xsi:type="dcterms:W3CDTF">2021-03-03T19:38:00Z</dcterms:created>
  <dcterms:modified xsi:type="dcterms:W3CDTF">2021-03-07T20:00:00Z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0x0101000C20C21B4BCA12419CC10E555A2D1365</vt:lpwstr>
  </property>
</Properties>
</file>