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400C5" w14:textId="70160FB3" w:rsidR="00F0599A" w:rsidRPr="00B7612C" w:rsidRDefault="00784E75" w:rsidP="000B6F36">
      <w:pPr>
        <w:spacing w:after="0" w:line="240" w:lineRule="auto"/>
        <w:jc w:val="center"/>
        <w:rPr>
          <w:b/>
        </w:rPr>
      </w:pPr>
      <w:r>
        <w:rPr>
          <w:b/>
        </w:rPr>
        <w:t>Expect</w:t>
      </w:r>
      <w:r w:rsidR="00FF7282">
        <w:rPr>
          <w:b/>
        </w:rPr>
        <w:t>ing</w:t>
      </w:r>
      <w:r>
        <w:rPr>
          <w:b/>
        </w:rPr>
        <w:t xml:space="preserve"> the Unexpected in </w:t>
      </w:r>
      <w:r w:rsidRPr="00B7612C">
        <w:rPr>
          <w:b/>
          <w:i/>
        </w:rPr>
        <w:t>Management Learning</w:t>
      </w:r>
    </w:p>
    <w:p w14:paraId="66A51236" w14:textId="77777777" w:rsidR="000B6F36" w:rsidRDefault="000B6F36" w:rsidP="000B6F36">
      <w:pPr>
        <w:spacing w:after="0" w:line="240" w:lineRule="auto"/>
        <w:rPr>
          <w:rFonts w:eastAsia="Times New Roman" w:cs="Times New Roman"/>
          <w:lang w:eastAsia="en-GB"/>
        </w:rPr>
      </w:pPr>
    </w:p>
    <w:p w14:paraId="6C2BDA08" w14:textId="656284FB" w:rsidR="00911111" w:rsidRPr="00A643D1" w:rsidRDefault="000B6F36" w:rsidP="00A643D1">
      <w:pPr>
        <w:jc w:val="right"/>
        <w:rPr>
          <w:i/>
        </w:rPr>
      </w:pPr>
      <w:bookmarkStart w:id="0" w:name="_Hlk492650717"/>
      <w:r w:rsidRPr="000B6F36">
        <w:rPr>
          <w:rFonts w:eastAsia="Times New Roman" w:cs="Times New Roman"/>
          <w:lang w:eastAsia="en-GB"/>
        </w:rPr>
        <w:t>‘</w:t>
      </w:r>
      <w:r w:rsidR="00A643D1">
        <w:t>If you do not expect the unexpected, you will not find it; for it is hard to be sought out and difficult.’</w:t>
      </w:r>
      <w:r w:rsidR="00911111" w:rsidRPr="000B6F36">
        <w:rPr>
          <w:rFonts w:eastAsia="Times New Roman" w:cs="Times New Roman"/>
          <w:lang w:eastAsia="en-GB"/>
        </w:rPr>
        <w:t xml:space="preserve"> </w:t>
      </w:r>
      <w:r w:rsidR="00A643D1">
        <w:rPr>
          <w:rFonts w:eastAsia="Times New Roman" w:cs="Times New Roman"/>
          <w:iCs/>
          <w:lang w:eastAsia="en-GB"/>
        </w:rPr>
        <w:t>Heraclitus</w:t>
      </w:r>
      <w:r w:rsidR="004B4504">
        <w:rPr>
          <w:rFonts w:eastAsia="Times New Roman" w:cs="Times New Roman"/>
          <w:iCs/>
          <w:lang w:eastAsia="en-GB"/>
        </w:rPr>
        <w:t xml:space="preserve">, </w:t>
      </w:r>
      <w:r w:rsidR="008875F8">
        <w:rPr>
          <w:rFonts w:eastAsia="Times New Roman" w:cs="Times New Roman"/>
          <w:lang w:eastAsia="en-GB"/>
        </w:rPr>
        <w:t>Fragment 7</w:t>
      </w:r>
      <w:r w:rsidR="00A643D1">
        <w:rPr>
          <w:rStyle w:val="EndnoteReference"/>
          <w:rFonts w:eastAsia="Times New Roman" w:cs="Times New Roman"/>
          <w:iCs/>
          <w:lang w:eastAsia="en-GB"/>
        </w:rPr>
        <w:endnoteReference w:id="1"/>
      </w:r>
    </w:p>
    <w:bookmarkEnd w:id="0"/>
    <w:p w14:paraId="260C0CC6" w14:textId="77777777" w:rsidR="00BA748B" w:rsidRDefault="00BA748B" w:rsidP="000B6F36">
      <w:pPr>
        <w:spacing w:after="0" w:line="240" w:lineRule="auto"/>
      </w:pPr>
    </w:p>
    <w:p w14:paraId="4FE13E00" w14:textId="45DF1172" w:rsidR="009B41B0" w:rsidRDefault="002A5C9D" w:rsidP="009B41B0">
      <w:pPr>
        <w:spacing w:after="0" w:line="240" w:lineRule="auto"/>
      </w:pPr>
      <w:r w:rsidRPr="00211124">
        <w:t>W</w:t>
      </w:r>
      <w:r w:rsidR="00624B56" w:rsidRPr="00211124">
        <w:t xml:space="preserve">hen we </w:t>
      </w:r>
      <w:r w:rsidRPr="00211124">
        <w:t xml:space="preserve">are invited </w:t>
      </w:r>
      <w:r w:rsidR="00A63831">
        <w:t xml:space="preserve">as editors </w:t>
      </w:r>
      <w:r w:rsidRPr="00211124">
        <w:t xml:space="preserve">to </w:t>
      </w:r>
      <w:r w:rsidR="002F7A5C" w:rsidRPr="00211124">
        <w:t xml:space="preserve">contribute to </w:t>
      </w:r>
      <w:r w:rsidR="000B6F36" w:rsidRPr="00211124">
        <w:t>conference</w:t>
      </w:r>
      <w:r w:rsidR="00A643D1" w:rsidRPr="00211124">
        <w:t xml:space="preserve"> session</w:t>
      </w:r>
      <w:r w:rsidR="000B6F36" w:rsidRPr="00211124">
        <w:t>s</w:t>
      </w:r>
      <w:r w:rsidR="00A643D1" w:rsidRPr="00211124">
        <w:t>,</w:t>
      </w:r>
      <w:r w:rsidR="000B6F36" w:rsidRPr="00211124">
        <w:t xml:space="preserve"> workshops </w:t>
      </w:r>
      <w:r w:rsidR="00A643D1" w:rsidRPr="00211124">
        <w:t xml:space="preserve">and </w:t>
      </w:r>
      <w:r w:rsidR="002F7A5C" w:rsidRPr="00211124">
        <w:t xml:space="preserve">talks </w:t>
      </w:r>
      <w:r w:rsidR="009B41B0">
        <w:t>on</w:t>
      </w:r>
      <w:r w:rsidR="002F7A5C" w:rsidRPr="00211124">
        <w:t xml:space="preserve"> journal</w:t>
      </w:r>
      <w:r w:rsidRPr="00211124">
        <w:t xml:space="preserve"> publishing</w:t>
      </w:r>
      <w:r w:rsidR="00A643D1" w:rsidRPr="00211124">
        <w:t xml:space="preserve"> </w:t>
      </w:r>
      <w:r w:rsidR="00014CCF" w:rsidRPr="00211124">
        <w:t xml:space="preserve">we </w:t>
      </w:r>
      <w:r w:rsidRPr="00211124">
        <w:t xml:space="preserve">sometimes </w:t>
      </w:r>
      <w:r w:rsidR="00014CCF" w:rsidRPr="00211124">
        <w:t xml:space="preserve">hear the word ‘quirky’ </w:t>
      </w:r>
      <w:r w:rsidR="002F7A5C" w:rsidRPr="00211124">
        <w:t xml:space="preserve">as a label </w:t>
      </w:r>
      <w:r w:rsidR="005F39BC" w:rsidRPr="00211124">
        <w:t xml:space="preserve">used </w:t>
      </w:r>
      <w:r w:rsidR="00842A8E" w:rsidRPr="00211124">
        <w:t xml:space="preserve">to describe </w:t>
      </w:r>
      <w:r w:rsidR="002F7A5C" w:rsidRPr="00211124">
        <w:t xml:space="preserve">work </w:t>
      </w:r>
      <w:r w:rsidR="00CB2AA9">
        <w:t xml:space="preserve">published </w:t>
      </w:r>
      <w:r w:rsidR="002F7A5C" w:rsidRPr="00211124">
        <w:t xml:space="preserve">in </w:t>
      </w:r>
      <w:r w:rsidR="002F7A5C" w:rsidRPr="00211124">
        <w:rPr>
          <w:i/>
        </w:rPr>
        <w:t>Management Learning</w:t>
      </w:r>
      <w:r w:rsidRPr="00211124">
        <w:t xml:space="preserve">. What we take </w:t>
      </w:r>
      <w:r w:rsidR="009B41B0">
        <w:t>people</w:t>
      </w:r>
      <w:r w:rsidR="002F7A5C" w:rsidRPr="00211124">
        <w:t xml:space="preserve"> to mean when </w:t>
      </w:r>
      <w:r w:rsidR="00A63831">
        <w:t>they</w:t>
      </w:r>
      <w:r w:rsidR="002F7A5C" w:rsidRPr="00211124">
        <w:t xml:space="preserve"> describe </w:t>
      </w:r>
      <w:r w:rsidR="002448EF" w:rsidRPr="00211124">
        <w:t xml:space="preserve">the journal </w:t>
      </w:r>
      <w:r w:rsidR="002F7A5C" w:rsidRPr="00211124">
        <w:t>in th</w:t>
      </w:r>
      <w:r w:rsidRPr="00211124">
        <w:t>is way</w:t>
      </w:r>
      <w:r w:rsidR="002F7A5C" w:rsidRPr="00211124">
        <w:t xml:space="preserve"> is that articles </w:t>
      </w:r>
      <w:r w:rsidR="00AF2978" w:rsidRPr="00211124">
        <w:t xml:space="preserve">are </w:t>
      </w:r>
      <w:r w:rsidR="000B6F36" w:rsidRPr="00211124">
        <w:t>unexpected, unconventional, unusual and un</w:t>
      </w:r>
      <w:r w:rsidR="00842A8E" w:rsidRPr="00211124">
        <w:t>orthodox</w:t>
      </w:r>
      <w:r w:rsidRPr="00211124">
        <w:t xml:space="preserve">. These </w:t>
      </w:r>
      <w:r w:rsidR="00842A8E" w:rsidRPr="00211124">
        <w:t xml:space="preserve">characteristics </w:t>
      </w:r>
      <w:r w:rsidR="005F39BC" w:rsidRPr="00211124">
        <w:t xml:space="preserve">are </w:t>
      </w:r>
      <w:r w:rsidRPr="00211124">
        <w:t xml:space="preserve">highly </w:t>
      </w:r>
      <w:r w:rsidR="00842A8E" w:rsidRPr="00211124">
        <w:t xml:space="preserve">consistent with </w:t>
      </w:r>
      <w:r w:rsidR="002F7A5C" w:rsidRPr="00211124">
        <w:t xml:space="preserve">the </w:t>
      </w:r>
      <w:r w:rsidR="000E7047">
        <w:t xml:space="preserve">remit of </w:t>
      </w:r>
      <w:r w:rsidR="000E7047" w:rsidRPr="000E7047">
        <w:rPr>
          <w:i/>
        </w:rPr>
        <w:t>Management Learning</w:t>
      </w:r>
      <w:r w:rsidR="002F7A5C" w:rsidRPr="00211124">
        <w:t>, which is</w:t>
      </w:r>
      <w:r w:rsidR="00842A8E" w:rsidRPr="00211124">
        <w:t xml:space="preserve"> to publish </w:t>
      </w:r>
      <w:r w:rsidR="002F7A5C" w:rsidRPr="00211124">
        <w:t>thought-provoking work t</w:t>
      </w:r>
      <w:r w:rsidR="00AF2978" w:rsidRPr="00211124">
        <w:t>h</w:t>
      </w:r>
      <w:r w:rsidR="002F7A5C" w:rsidRPr="00211124">
        <w:t>at</w:t>
      </w:r>
      <w:r w:rsidR="00AF2978" w:rsidRPr="00211124">
        <w:t xml:space="preserve"> opens up existing ways of thinking about knowledge and learning to </w:t>
      </w:r>
      <w:r w:rsidRPr="00211124">
        <w:t xml:space="preserve">critical </w:t>
      </w:r>
      <w:r w:rsidR="00AF2978" w:rsidRPr="00211124">
        <w:t>scrutiny.</w:t>
      </w:r>
      <w:r w:rsidR="000B6F36" w:rsidRPr="00211124">
        <w:t xml:space="preserve"> </w:t>
      </w:r>
      <w:r w:rsidR="0053490A">
        <w:t xml:space="preserve">Evidence of the appeal of quirky scholarship may be inferred from </w:t>
      </w:r>
      <w:r w:rsidR="0053490A" w:rsidRPr="000B6F36">
        <w:t xml:space="preserve">the journal’s </w:t>
      </w:r>
      <w:r w:rsidR="0053490A">
        <w:t xml:space="preserve">rising </w:t>
      </w:r>
      <w:r w:rsidR="0053490A" w:rsidRPr="000B6F36">
        <w:t>impact factor</w:t>
      </w:r>
      <w:r w:rsidR="0053490A">
        <w:t xml:space="preserve">, which </w:t>
      </w:r>
      <w:r w:rsidR="0053490A" w:rsidRPr="000B6F36">
        <w:t xml:space="preserve">increased </w:t>
      </w:r>
      <w:r w:rsidR="0053490A">
        <w:t>further this year</w:t>
      </w:r>
      <w:r w:rsidR="0053490A" w:rsidRPr="000B6F36">
        <w:t xml:space="preserve"> from 1.393 to 1.836 </w:t>
      </w:r>
      <w:r w:rsidR="0053490A">
        <w:t>(</w:t>
      </w:r>
      <w:r w:rsidR="0053490A" w:rsidRPr="000B6F36">
        <w:t>Management</w:t>
      </w:r>
      <w:r w:rsidR="0053490A" w:rsidRPr="00062B7F">
        <w:t xml:space="preserve"> JCR 89/194</w:t>
      </w:r>
      <w:r w:rsidR="0053490A">
        <w:t>)</w:t>
      </w:r>
      <w:r w:rsidR="0053490A" w:rsidRPr="00062B7F">
        <w:t>.</w:t>
      </w:r>
      <w:r w:rsidR="0053490A" w:rsidRPr="005A0AFE">
        <w:rPr>
          <w:rFonts w:cs="Arial"/>
          <w:szCs w:val="26"/>
        </w:rPr>
        <w:t> </w:t>
      </w:r>
      <w:r w:rsidR="002448EF" w:rsidRPr="00211124">
        <w:t>However, q</w:t>
      </w:r>
      <w:r w:rsidR="00AF2978" w:rsidRPr="00211124">
        <w:t xml:space="preserve">uirkiness </w:t>
      </w:r>
      <w:r w:rsidR="00A643D1" w:rsidRPr="00211124">
        <w:t xml:space="preserve">also </w:t>
      </w:r>
      <w:r w:rsidR="002F7A5C" w:rsidRPr="00211124">
        <w:t>implies</w:t>
      </w:r>
      <w:r w:rsidR="00A643D1" w:rsidRPr="00211124">
        <w:t xml:space="preserve"> deviati</w:t>
      </w:r>
      <w:r w:rsidR="002F7A5C" w:rsidRPr="00211124">
        <w:t>o</w:t>
      </w:r>
      <w:r w:rsidR="00A643D1" w:rsidRPr="00211124">
        <w:t>n from the mainstream</w:t>
      </w:r>
      <w:r w:rsidR="009B41B0">
        <w:t>. It can</w:t>
      </w:r>
      <w:r w:rsidR="002F7A5C" w:rsidRPr="00211124">
        <w:t xml:space="preserve"> therefore be</w:t>
      </w:r>
      <w:r w:rsidRPr="00211124">
        <w:t xml:space="preserve"> seen as work that is risky</w:t>
      </w:r>
      <w:r w:rsidR="005F39BC" w:rsidRPr="00211124">
        <w:t xml:space="preserve"> -</w:t>
      </w:r>
      <w:r w:rsidRPr="00211124">
        <w:t xml:space="preserve"> or even </w:t>
      </w:r>
      <w:r w:rsidR="00A643D1" w:rsidRPr="00211124">
        <w:t>marginal</w:t>
      </w:r>
      <w:r w:rsidRPr="00211124">
        <w:t xml:space="preserve"> and</w:t>
      </w:r>
      <w:r w:rsidR="00014CCF" w:rsidRPr="00211124">
        <w:t xml:space="preserve"> </w:t>
      </w:r>
      <w:r w:rsidR="00A643D1" w:rsidRPr="00211124">
        <w:t>eccentric</w:t>
      </w:r>
      <w:r w:rsidR="005F39BC" w:rsidRPr="00211124">
        <w:t xml:space="preserve"> -</w:t>
      </w:r>
      <w:r w:rsidRPr="00211124">
        <w:t xml:space="preserve"> and hence not </w:t>
      </w:r>
      <w:r w:rsidR="00014CCF" w:rsidRPr="00211124">
        <w:t xml:space="preserve">to be taken </w:t>
      </w:r>
      <w:r w:rsidR="00E7525E">
        <w:t xml:space="preserve">especially </w:t>
      </w:r>
      <w:r w:rsidR="00014CCF" w:rsidRPr="00211124">
        <w:t>seriously</w:t>
      </w:r>
      <w:r w:rsidR="00A643D1" w:rsidRPr="00211124">
        <w:t xml:space="preserve">. </w:t>
      </w:r>
    </w:p>
    <w:p w14:paraId="1F28A4B0" w14:textId="77777777" w:rsidR="009B41B0" w:rsidRDefault="009B41B0" w:rsidP="009B41B0">
      <w:pPr>
        <w:spacing w:after="0" w:line="240" w:lineRule="auto"/>
      </w:pPr>
    </w:p>
    <w:p w14:paraId="507EBD45" w14:textId="06E2CAEE" w:rsidR="007662D5" w:rsidRPr="00211124" w:rsidRDefault="002A5C9D" w:rsidP="009B41B0">
      <w:pPr>
        <w:spacing w:after="0" w:line="240" w:lineRule="auto"/>
      </w:pPr>
      <w:r w:rsidRPr="00211124">
        <w:t>In this editorial</w:t>
      </w:r>
      <w:r w:rsidR="004B4504" w:rsidRPr="00211124">
        <w:t xml:space="preserve"> </w:t>
      </w:r>
      <w:r w:rsidR="00A643D1" w:rsidRPr="00211124">
        <w:t xml:space="preserve">we </w:t>
      </w:r>
      <w:r w:rsidR="002448EF" w:rsidRPr="00211124">
        <w:t xml:space="preserve">seek to </w:t>
      </w:r>
      <w:r w:rsidR="00A643D1" w:rsidRPr="00211124">
        <w:t xml:space="preserve">explore the </w:t>
      </w:r>
      <w:r w:rsidR="00CC74F7" w:rsidRPr="00211124">
        <w:t xml:space="preserve">meaning of </w:t>
      </w:r>
      <w:r w:rsidR="00014CCF" w:rsidRPr="00211124">
        <w:t>quirkiness</w:t>
      </w:r>
      <w:r w:rsidR="00CC74F7" w:rsidRPr="00211124">
        <w:t xml:space="preserve"> and, </w:t>
      </w:r>
      <w:r w:rsidR="00A643D1" w:rsidRPr="00211124">
        <w:t>through this</w:t>
      </w:r>
      <w:r w:rsidR="004B4504" w:rsidRPr="00211124">
        <w:t>,</w:t>
      </w:r>
      <w:r w:rsidR="00A643D1" w:rsidRPr="00211124">
        <w:t xml:space="preserve"> </w:t>
      </w:r>
      <w:r w:rsidR="002448EF" w:rsidRPr="00211124">
        <w:t xml:space="preserve">to </w:t>
      </w:r>
      <w:r w:rsidR="00A643D1" w:rsidRPr="00211124">
        <w:t xml:space="preserve">embrace the possibilities that </w:t>
      </w:r>
      <w:r w:rsidR="004B4504" w:rsidRPr="00211124">
        <w:t>such a positioning affords.</w:t>
      </w:r>
      <w:r w:rsidRPr="00211124">
        <w:t xml:space="preserve"> </w:t>
      </w:r>
      <w:r w:rsidR="007662D5" w:rsidRPr="00211124">
        <w:t xml:space="preserve">In so doing, we follow a tradition of reclaiming words </w:t>
      </w:r>
      <w:r w:rsidR="005F39BC" w:rsidRPr="00211124">
        <w:t xml:space="preserve">that have </w:t>
      </w:r>
      <w:r w:rsidR="002448EF" w:rsidRPr="00211124">
        <w:t xml:space="preserve">formerly </w:t>
      </w:r>
      <w:r w:rsidR="005F39BC" w:rsidRPr="00211124">
        <w:t xml:space="preserve">been </w:t>
      </w:r>
      <w:r w:rsidR="002448EF" w:rsidRPr="00211124">
        <w:t>used t</w:t>
      </w:r>
      <w:r w:rsidR="007662D5" w:rsidRPr="00211124">
        <w:t xml:space="preserve">o subjugate or undermine, </w:t>
      </w:r>
      <w:r w:rsidR="005F39BC" w:rsidRPr="00211124">
        <w:t xml:space="preserve">such as ‘queer’, </w:t>
      </w:r>
      <w:r w:rsidR="007A6DBB">
        <w:t xml:space="preserve">and </w:t>
      </w:r>
      <w:r w:rsidR="00C165BC">
        <w:t>using th</w:t>
      </w:r>
      <w:r w:rsidR="007A6DBB">
        <w:t>em</w:t>
      </w:r>
      <w:r w:rsidR="007662D5" w:rsidRPr="00211124">
        <w:t xml:space="preserve"> to ‘question dominant foundational assumptions about what is “normal” and what is “abnormal”’ (Rumens and Tyler, </w:t>
      </w:r>
      <w:r w:rsidR="002448EF" w:rsidRPr="00211124">
        <w:t>2016</w:t>
      </w:r>
      <w:r w:rsidR="00C030B1">
        <w:t>: 225</w:t>
      </w:r>
      <w:r w:rsidR="007662D5" w:rsidRPr="00211124">
        <w:t>)</w:t>
      </w:r>
      <w:r w:rsidR="002448EF" w:rsidRPr="00211124">
        <w:t xml:space="preserve">. By attempting to </w:t>
      </w:r>
      <w:r w:rsidR="007662D5" w:rsidRPr="00211124">
        <w:t>unsettl</w:t>
      </w:r>
      <w:r w:rsidR="002448EF" w:rsidRPr="00211124">
        <w:t>e</w:t>
      </w:r>
      <w:r w:rsidR="007662D5" w:rsidRPr="00211124">
        <w:t xml:space="preserve"> what is </w:t>
      </w:r>
      <w:r w:rsidR="002448EF" w:rsidRPr="00211124">
        <w:t>considered ‘</w:t>
      </w:r>
      <w:r w:rsidR="007662D5" w:rsidRPr="00211124">
        <w:t>normal</w:t>
      </w:r>
      <w:r w:rsidR="002448EF" w:rsidRPr="00211124">
        <w:t>’</w:t>
      </w:r>
      <w:r w:rsidR="007662D5" w:rsidRPr="00211124">
        <w:t xml:space="preserve"> in </w:t>
      </w:r>
      <w:r w:rsidR="002448EF" w:rsidRPr="00211124">
        <w:t xml:space="preserve">the study of </w:t>
      </w:r>
      <w:r w:rsidR="007662D5" w:rsidRPr="00211124">
        <w:t xml:space="preserve">management </w:t>
      </w:r>
      <w:r w:rsidR="007A6DBB">
        <w:t>knowledge</w:t>
      </w:r>
      <w:r w:rsidR="007A6DBB" w:rsidRPr="00211124">
        <w:t xml:space="preserve"> </w:t>
      </w:r>
      <w:r w:rsidR="007A6DBB">
        <w:t xml:space="preserve">and </w:t>
      </w:r>
      <w:r w:rsidR="007662D5" w:rsidRPr="00211124">
        <w:t>learning</w:t>
      </w:r>
      <w:r w:rsidR="002448EF" w:rsidRPr="00211124">
        <w:t>,</w:t>
      </w:r>
      <w:r w:rsidR="007662D5" w:rsidRPr="00211124">
        <w:t xml:space="preserve"> we </w:t>
      </w:r>
      <w:r w:rsidR="002448EF" w:rsidRPr="00211124">
        <w:t>endeavour</w:t>
      </w:r>
      <w:r w:rsidR="007662D5" w:rsidRPr="00211124">
        <w:t xml:space="preserve"> to reclaim the word ‘quirky’ as a term with critical, reflexive potential. </w:t>
      </w:r>
    </w:p>
    <w:p w14:paraId="2F48429B" w14:textId="1989CAB2" w:rsidR="007662D5" w:rsidRDefault="007662D5" w:rsidP="000B6F36">
      <w:pPr>
        <w:spacing w:after="0" w:line="240" w:lineRule="auto"/>
      </w:pPr>
    </w:p>
    <w:p w14:paraId="5197E6B8" w14:textId="74F194EC" w:rsidR="00C165BC" w:rsidRDefault="00CB2AA9" w:rsidP="00C165BC">
      <w:pPr>
        <w:spacing w:after="0" w:line="240" w:lineRule="auto"/>
      </w:pPr>
      <w:r>
        <w:t xml:space="preserve">Our view is that quirky scholarship arises from the exercise of disciplined, sociological imagination (Mills, 1959) in pursuit of scholarly creativity. </w:t>
      </w:r>
      <w:r w:rsidR="00442D6D">
        <w:t xml:space="preserve">One of the ways </w:t>
      </w:r>
      <w:r w:rsidR="00E11B94">
        <w:t xml:space="preserve">in which </w:t>
      </w:r>
      <w:r w:rsidR="00442D6D">
        <w:t>quirky scholarship can be cultivated, is through exposure to the unexpected. This is a feature of e</w:t>
      </w:r>
      <w:r w:rsidR="00C165BC">
        <w:t>thnomethodolog</w:t>
      </w:r>
      <w:r w:rsidR="00442D6D">
        <w:t>y which involves deliberately engineering unexpected situations and observing the social re</w:t>
      </w:r>
      <w:r w:rsidR="00E11B94">
        <w:t>actions</w:t>
      </w:r>
      <w:r w:rsidR="00442D6D">
        <w:t xml:space="preserve"> that th</w:t>
      </w:r>
      <w:r w:rsidR="00E11B94">
        <w:t>is</w:t>
      </w:r>
      <w:r w:rsidR="00442D6D">
        <w:t xml:space="preserve"> provoke</w:t>
      </w:r>
      <w:r w:rsidR="00E11B94">
        <w:t>s - a practice known a</w:t>
      </w:r>
      <w:r w:rsidR="00442D6D">
        <w:t>s</w:t>
      </w:r>
      <w:r w:rsidR="00C165BC">
        <w:t xml:space="preserve"> ‘breaching’ (Garfinkel, 1967</w:t>
      </w:r>
      <w:r w:rsidR="00E11B94">
        <w:t>)</w:t>
      </w:r>
      <w:r w:rsidR="00C165BC">
        <w:t xml:space="preserve">. </w:t>
      </w:r>
      <w:r w:rsidR="00E11B94">
        <w:t xml:space="preserve">This enables insight into the practices that </w:t>
      </w:r>
      <w:r w:rsidR="00C165BC">
        <w:t xml:space="preserve">social actors use to produce and maintain settings as understandable, consistent and accountable. </w:t>
      </w:r>
      <w:r w:rsidR="007A6DBB">
        <w:t>In the context of journal publishing</w:t>
      </w:r>
      <w:r w:rsidR="00E11B94">
        <w:t>,</w:t>
      </w:r>
      <w:r w:rsidR="007A6DBB">
        <w:t xml:space="preserve"> these practices </w:t>
      </w:r>
      <w:r w:rsidR="00C165BC">
        <w:t>contribut</w:t>
      </w:r>
      <w:r w:rsidR="00E11B94">
        <w:t>e</w:t>
      </w:r>
      <w:r w:rsidR="00C165BC">
        <w:t xml:space="preserve"> to the development of shared paradigms (Kuhn, 1970) - beliefs, values, ideas and techniques about what we should study and how to study it. </w:t>
      </w:r>
      <w:r w:rsidR="00E11B94">
        <w:t>Yet u</w:t>
      </w:r>
      <w:r w:rsidR="00C165BC">
        <w:t xml:space="preserve">nexpected </w:t>
      </w:r>
      <w:r w:rsidR="007A6DBB">
        <w:t xml:space="preserve">or quirky </w:t>
      </w:r>
      <w:r w:rsidR="00C165BC">
        <w:t xml:space="preserve">articles in </w:t>
      </w:r>
      <w:r w:rsidR="00C165BC" w:rsidRPr="00ED136E">
        <w:rPr>
          <w:i/>
        </w:rPr>
        <w:t>Management Learning</w:t>
      </w:r>
      <w:r w:rsidR="00C165BC">
        <w:t xml:space="preserve"> are characterised by conscious (careful and meticulous) violation of </w:t>
      </w:r>
      <w:r w:rsidR="00E11B94">
        <w:t xml:space="preserve">these </w:t>
      </w:r>
      <w:r w:rsidR="00237874">
        <w:t>shared</w:t>
      </w:r>
      <w:r w:rsidR="00C165BC">
        <w:t xml:space="preserve"> norms</w:t>
      </w:r>
      <w:r w:rsidR="007A6DBB">
        <w:t xml:space="preserve">. </w:t>
      </w:r>
      <w:r w:rsidR="00E11B94">
        <w:t>A</w:t>
      </w:r>
      <w:r w:rsidR="007A6DBB">
        <w:t xml:space="preserve">uthors of quirky articles </w:t>
      </w:r>
      <w:r w:rsidR="00237874">
        <w:t>in th</w:t>
      </w:r>
      <w:r w:rsidR="0053490A">
        <w:t>is</w:t>
      </w:r>
      <w:r w:rsidR="00237874">
        <w:t xml:space="preserve"> journal </w:t>
      </w:r>
      <w:r w:rsidR="00E11B94">
        <w:t xml:space="preserve">can be understood as </w:t>
      </w:r>
      <w:r w:rsidR="00C165BC">
        <w:t>engag</w:t>
      </w:r>
      <w:r w:rsidR="00E11B94">
        <w:t>ed</w:t>
      </w:r>
      <w:r w:rsidR="00C165BC">
        <w:t xml:space="preserve"> in </w:t>
      </w:r>
      <w:r w:rsidR="0053490A">
        <w:t xml:space="preserve">what might </w:t>
      </w:r>
      <w:r w:rsidR="00E11B94">
        <w:t xml:space="preserve">therefore </w:t>
      </w:r>
      <w:r w:rsidR="0053490A">
        <w:t xml:space="preserve">be understood as </w:t>
      </w:r>
      <w:r w:rsidR="00C165BC">
        <w:t>acts of ‘positive deviance’ (Rafalovich, 2006)</w:t>
      </w:r>
      <w:r w:rsidR="0053490A">
        <w:t>,</w:t>
      </w:r>
      <w:r w:rsidR="007A6DBB">
        <w:t xml:space="preserve"> </w:t>
      </w:r>
      <w:r w:rsidR="00C165BC">
        <w:t xml:space="preserve">destabilising or denaturalizing (Grey, 2009) what is taken for granted. </w:t>
      </w:r>
      <w:r w:rsidR="00E11B94">
        <w:t>B</w:t>
      </w:r>
      <w:r w:rsidR="00C165BC">
        <w:t xml:space="preserve">reaching established norms can be intellectually and emotionally </w:t>
      </w:r>
      <w:r w:rsidR="0053490A">
        <w:t>discomforting</w:t>
      </w:r>
      <w:r w:rsidR="00C165BC">
        <w:t>. Yet it is only by seeking to understand why pressure</w:t>
      </w:r>
      <w:r w:rsidR="00E11B94">
        <w:t>s</w:t>
      </w:r>
      <w:r w:rsidR="00C165BC">
        <w:t xml:space="preserve"> to conform exist, and where th</w:t>
      </w:r>
      <w:r w:rsidR="00E11B94">
        <w:t>ey come</w:t>
      </w:r>
      <w:r w:rsidR="00C165BC">
        <w:t xml:space="preserve"> from, that insights are able to be generated. </w:t>
      </w:r>
    </w:p>
    <w:p w14:paraId="4B7AFD9B" w14:textId="77777777" w:rsidR="00C165BC" w:rsidRDefault="00C165BC" w:rsidP="00C165BC">
      <w:pPr>
        <w:spacing w:after="0" w:line="240" w:lineRule="auto"/>
      </w:pPr>
    </w:p>
    <w:p w14:paraId="3931205C" w14:textId="010AE576" w:rsidR="005001D1" w:rsidRDefault="00E7525E" w:rsidP="005F39BC">
      <w:pPr>
        <w:spacing w:after="0" w:line="240" w:lineRule="auto"/>
      </w:pPr>
      <w:r w:rsidRPr="00211124">
        <w:t xml:space="preserve">Being prepared to be surprised, or </w:t>
      </w:r>
      <w:r w:rsidR="00F736D0">
        <w:t xml:space="preserve">to </w:t>
      </w:r>
      <w:r w:rsidRPr="00211124">
        <w:t>expect the unexpected, arises from exposure to uncertainty</w:t>
      </w:r>
      <w:r w:rsidR="0053490A">
        <w:t xml:space="preserve"> which</w:t>
      </w:r>
      <w:r w:rsidR="009F2C45">
        <w:t>,</w:t>
      </w:r>
      <w:r w:rsidR="0053490A">
        <w:t xml:space="preserve"> in the case of academic articles</w:t>
      </w:r>
      <w:r w:rsidR="009F2C45">
        <w:t>,</w:t>
      </w:r>
      <w:r w:rsidR="0053490A">
        <w:t xml:space="preserve"> </w:t>
      </w:r>
      <w:r w:rsidR="009F2C45">
        <w:t xml:space="preserve">potentially </w:t>
      </w:r>
      <w:r w:rsidR="0053490A">
        <w:t>involves</w:t>
      </w:r>
      <w:r w:rsidRPr="00211124">
        <w:t xml:space="preserve"> focusing on phenomena that are puzzling </w:t>
      </w:r>
      <w:r w:rsidR="009F2C45">
        <w:t xml:space="preserve">or discomforting </w:t>
      </w:r>
      <w:r w:rsidRPr="00211124">
        <w:t xml:space="preserve">and asking questions which </w:t>
      </w:r>
      <w:r w:rsidR="0053490A">
        <w:t>cannot be</w:t>
      </w:r>
      <w:r w:rsidRPr="00211124">
        <w:t xml:space="preserve"> answer</w:t>
      </w:r>
      <w:r w:rsidR="0053490A">
        <w:t>ed satisfactorily</w:t>
      </w:r>
      <w:r w:rsidRPr="00211124">
        <w:t xml:space="preserve">. Heraclitus, quoted at the start of this editorial, suggests the unexpected arises from the dialectical relationship between harmony and strife which are inseparable elements of human knowing </w:t>
      </w:r>
      <w:r w:rsidR="0053490A">
        <w:t xml:space="preserve">that are </w:t>
      </w:r>
      <w:r w:rsidRPr="00211124">
        <w:t xml:space="preserve">only able to be reconciled through practice. </w:t>
      </w:r>
      <w:r>
        <w:t>In order f</w:t>
      </w:r>
      <w:r w:rsidRPr="00211124">
        <w:t xml:space="preserve">or unexpectedness to be realised in papers published in </w:t>
      </w:r>
      <w:r w:rsidRPr="00211124">
        <w:rPr>
          <w:i/>
        </w:rPr>
        <w:t>Management Learning</w:t>
      </w:r>
      <w:r w:rsidRPr="00211124">
        <w:t>, we depend on authors and reviewers to be able to deal with a degree of strife and the emotions that this can provoke.</w:t>
      </w:r>
      <w:r>
        <w:t xml:space="preserve"> </w:t>
      </w:r>
      <w:r w:rsidR="007A6DBB">
        <w:t xml:space="preserve">It is commonly argued that </w:t>
      </w:r>
      <w:r w:rsidR="005F39BC" w:rsidRPr="00211124">
        <w:t xml:space="preserve">‘good scholarship’ </w:t>
      </w:r>
      <w:r w:rsidR="004E0936" w:rsidRPr="00211124">
        <w:t>involves joining an existing conversation</w:t>
      </w:r>
      <w:r w:rsidR="00211124" w:rsidRPr="00211124">
        <w:t>,</w:t>
      </w:r>
      <w:r w:rsidR="004E0936" w:rsidRPr="00211124">
        <w:t xml:space="preserve"> such as in a particular journal</w:t>
      </w:r>
      <w:r w:rsidR="00211124" w:rsidRPr="00211124">
        <w:t>,</w:t>
      </w:r>
      <w:r w:rsidR="004E0936" w:rsidRPr="00211124">
        <w:t xml:space="preserve"> in order to </w:t>
      </w:r>
      <w:r w:rsidR="007A6DBB">
        <w:t xml:space="preserve">meaningfully </w:t>
      </w:r>
      <w:r w:rsidR="004E0936" w:rsidRPr="00211124">
        <w:t>contribute to it and</w:t>
      </w:r>
      <w:r w:rsidR="007A6DBB">
        <w:t>, through this, to</w:t>
      </w:r>
      <w:r w:rsidR="004E0936" w:rsidRPr="00211124">
        <w:t xml:space="preserve"> be accepted as a conversationalist/author</w:t>
      </w:r>
      <w:r w:rsidR="007A6DBB">
        <w:t xml:space="preserve"> (Huff, 1999)</w:t>
      </w:r>
      <w:r w:rsidR="005001D1">
        <w:t xml:space="preserve">. This sentiment is expressed in the </w:t>
      </w:r>
      <w:r w:rsidR="005001D1" w:rsidRPr="00C030B1">
        <w:rPr>
          <w:i/>
        </w:rPr>
        <w:t>Management Learning</w:t>
      </w:r>
      <w:r w:rsidR="005001D1">
        <w:t xml:space="preserve"> author submission guidelines which state:</w:t>
      </w:r>
    </w:p>
    <w:p w14:paraId="016AB90A" w14:textId="76496256" w:rsidR="005001D1" w:rsidRDefault="005001D1" w:rsidP="005F39BC">
      <w:pPr>
        <w:spacing w:after="0" w:line="240" w:lineRule="auto"/>
      </w:pPr>
    </w:p>
    <w:p w14:paraId="21CF9091" w14:textId="77777777" w:rsidR="005001D1" w:rsidRDefault="005001D1" w:rsidP="005001D1">
      <w:pPr>
        <w:spacing w:after="0" w:line="240" w:lineRule="auto"/>
        <w:ind w:left="720"/>
      </w:pPr>
      <w:r>
        <w:t xml:space="preserve">Manuscripts should be situated within a relevant body of literature, connect to important conversations in the field </w:t>
      </w:r>
      <w:r>
        <w:rPr>
          <w:i/>
          <w:iCs/>
        </w:rPr>
        <w:t>and</w:t>
      </w:r>
      <w:r>
        <w:t xml:space="preserve"> the journal, make a significant and substantial contribution to the development of management and organizational learning, and be coherent, clear and compelling. </w:t>
      </w:r>
    </w:p>
    <w:p w14:paraId="32E9C725" w14:textId="77777777" w:rsidR="005001D1" w:rsidRDefault="005001D1" w:rsidP="005001D1">
      <w:pPr>
        <w:spacing w:after="0" w:line="240" w:lineRule="auto"/>
      </w:pPr>
    </w:p>
    <w:p w14:paraId="714DB9AA" w14:textId="4F26AB62" w:rsidR="007A6DBB" w:rsidRDefault="004E0936" w:rsidP="005F39BC">
      <w:pPr>
        <w:spacing w:after="0" w:line="240" w:lineRule="auto"/>
      </w:pPr>
      <w:r w:rsidRPr="00211124">
        <w:t>W</w:t>
      </w:r>
      <w:r w:rsidR="005001D1">
        <w:t xml:space="preserve">hile we </w:t>
      </w:r>
      <w:r w:rsidRPr="00211124">
        <w:t xml:space="preserve">agree </w:t>
      </w:r>
      <w:r w:rsidR="005001D1">
        <w:t xml:space="preserve">with Huff, who recommends </w:t>
      </w:r>
      <w:r w:rsidRPr="00211124">
        <w:t xml:space="preserve">academic authors </w:t>
      </w:r>
      <w:r w:rsidR="005001D1">
        <w:t>to</w:t>
      </w:r>
      <w:r w:rsidR="007A6DBB">
        <w:t xml:space="preserve"> </w:t>
      </w:r>
      <w:r w:rsidR="005F39BC" w:rsidRPr="00211124">
        <w:t xml:space="preserve">connect with points </w:t>
      </w:r>
      <w:r w:rsidRPr="00211124">
        <w:t xml:space="preserve">that have </w:t>
      </w:r>
      <w:r w:rsidR="005F39BC" w:rsidRPr="00211124">
        <w:t xml:space="preserve">already </w:t>
      </w:r>
      <w:r w:rsidRPr="00211124">
        <w:t>been made</w:t>
      </w:r>
      <w:r w:rsidR="005F39BC" w:rsidRPr="00211124">
        <w:t xml:space="preserve"> (by reading and engaging with existing work in the </w:t>
      </w:r>
      <w:r w:rsidRPr="00211124">
        <w:t>field</w:t>
      </w:r>
      <w:r w:rsidR="005F39BC" w:rsidRPr="00211124">
        <w:t>)</w:t>
      </w:r>
      <w:r w:rsidR="0053490A">
        <w:t>,</w:t>
      </w:r>
      <w:r w:rsidR="005F39BC" w:rsidRPr="00211124">
        <w:t xml:space="preserve"> and</w:t>
      </w:r>
      <w:r w:rsidR="0053490A">
        <w:t xml:space="preserve"> to</w:t>
      </w:r>
      <w:r w:rsidR="005F39BC" w:rsidRPr="00211124">
        <w:t xml:space="preserve"> listen</w:t>
      </w:r>
      <w:r w:rsidRPr="00211124">
        <w:t xml:space="preserve"> before they speak (</w:t>
      </w:r>
      <w:r w:rsidR="005F39BC" w:rsidRPr="00211124">
        <w:t xml:space="preserve">in order to know </w:t>
      </w:r>
      <w:r w:rsidR="00C165BC">
        <w:t>the</w:t>
      </w:r>
      <w:r w:rsidR="005F39BC" w:rsidRPr="00211124">
        <w:t xml:space="preserve"> conversations</w:t>
      </w:r>
      <w:r w:rsidR="005108EF">
        <w:t xml:space="preserve"> that</w:t>
      </w:r>
      <w:r w:rsidR="005F39BC" w:rsidRPr="00211124">
        <w:t xml:space="preserve"> </w:t>
      </w:r>
      <w:r w:rsidRPr="00211124">
        <w:t>they</w:t>
      </w:r>
      <w:r w:rsidR="005F39BC" w:rsidRPr="00211124">
        <w:t xml:space="preserve"> w</w:t>
      </w:r>
      <w:r w:rsidR="00E96F08">
        <w:t>ish</w:t>
      </w:r>
      <w:r w:rsidR="005F39BC" w:rsidRPr="00211124">
        <w:t xml:space="preserve"> to participate in and </w:t>
      </w:r>
      <w:r w:rsidR="00C165BC">
        <w:t>t</w:t>
      </w:r>
      <w:r w:rsidRPr="00211124">
        <w:t>h</w:t>
      </w:r>
      <w:r w:rsidR="00C165BC">
        <w:t>e</w:t>
      </w:r>
      <w:r w:rsidR="005F39BC" w:rsidRPr="00211124">
        <w:t xml:space="preserve"> audiences </w:t>
      </w:r>
      <w:r w:rsidRPr="00211124">
        <w:t>they</w:t>
      </w:r>
      <w:r w:rsidR="005F39BC" w:rsidRPr="00211124">
        <w:t xml:space="preserve"> w</w:t>
      </w:r>
      <w:r w:rsidR="00E96F08">
        <w:t>ant</w:t>
      </w:r>
      <w:r w:rsidR="005F39BC" w:rsidRPr="00211124">
        <w:t xml:space="preserve"> to reach</w:t>
      </w:r>
      <w:r w:rsidRPr="00211124">
        <w:t>)</w:t>
      </w:r>
      <w:r w:rsidR="005001D1">
        <w:t>,</w:t>
      </w:r>
      <w:r w:rsidR="00211124" w:rsidRPr="00211124">
        <w:t xml:space="preserve"> </w:t>
      </w:r>
      <w:r w:rsidRPr="00211124">
        <w:t xml:space="preserve">we are </w:t>
      </w:r>
      <w:r w:rsidR="00211124" w:rsidRPr="00211124">
        <w:t xml:space="preserve">also </w:t>
      </w:r>
      <w:r w:rsidR="005F39BC" w:rsidRPr="00211124">
        <w:t xml:space="preserve">conscious of </w:t>
      </w:r>
      <w:r w:rsidRPr="00211124">
        <w:t xml:space="preserve">the need to avoid </w:t>
      </w:r>
      <w:r w:rsidR="005F39BC" w:rsidRPr="00211124">
        <w:t xml:space="preserve">pushing </w:t>
      </w:r>
      <w:r w:rsidR="00C165BC" w:rsidRPr="00211124">
        <w:t>th</w:t>
      </w:r>
      <w:r w:rsidR="00CB2AA9">
        <w:t>e</w:t>
      </w:r>
      <w:r w:rsidR="005001D1">
        <w:t>s</w:t>
      </w:r>
      <w:r w:rsidR="00CB2AA9">
        <w:t>e</w:t>
      </w:r>
      <w:r w:rsidR="005001D1">
        <w:t xml:space="preserve"> requirement</w:t>
      </w:r>
      <w:r w:rsidR="00CB2AA9">
        <w:t>s</w:t>
      </w:r>
      <w:r w:rsidR="005001D1">
        <w:t xml:space="preserve"> too far. This is because the </w:t>
      </w:r>
      <w:r w:rsidR="00C165BC">
        <w:t>imperative to contribute to existing conversations in a journal</w:t>
      </w:r>
      <w:r w:rsidR="00C165BC" w:rsidRPr="00211124">
        <w:t xml:space="preserve"> </w:t>
      </w:r>
      <w:r w:rsidR="00211124">
        <w:t>can</w:t>
      </w:r>
      <w:r w:rsidR="005F39BC">
        <w:t xml:space="preserve"> </w:t>
      </w:r>
      <w:r>
        <w:t>lead to paradigmatic closure</w:t>
      </w:r>
      <w:r w:rsidR="00CB2AA9">
        <w:t>,</w:t>
      </w:r>
      <w:r>
        <w:t xml:space="preserve"> </w:t>
      </w:r>
      <w:r w:rsidR="00211124">
        <w:t>through</w:t>
      </w:r>
      <w:r>
        <w:t xml:space="preserve"> regulation of disciplinary borders</w:t>
      </w:r>
      <w:r w:rsidR="00CB2AA9">
        <w:t>,</w:t>
      </w:r>
      <w:r>
        <w:t xml:space="preserve"> </w:t>
      </w:r>
      <w:r w:rsidR="00211124">
        <w:t>and a consequent</w:t>
      </w:r>
      <w:r>
        <w:t xml:space="preserve"> </w:t>
      </w:r>
      <w:r w:rsidR="00A63831">
        <w:t xml:space="preserve">potential </w:t>
      </w:r>
      <w:r>
        <w:t>undermin</w:t>
      </w:r>
      <w:r w:rsidR="00211124">
        <w:t xml:space="preserve">ing of </w:t>
      </w:r>
      <w:r w:rsidR="00A63831">
        <w:t>the</w:t>
      </w:r>
      <w:r>
        <w:t xml:space="preserve"> </w:t>
      </w:r>
      <w:r w:rsidR="00A63831">
        <w:t xml:space="preserve">surprising or </w:t>
      </w:r>
      <w:r>
        <w:t>unexpected</w:t>
      </w:r>
      <w:r w:rsidR="005F39BC">
        <w:t xml:space="preserve">. </w:t>
      </w:r>
    </w:p>
    <w:p w14:paraId="08A973FD" w14:textId="77777777" w:rsidR="007A6DBB" w:rsidRDefault="007A6DBB" w:rsidP="005F39BC">
      <w:pPr>
        <w:spacing w:after="0" w:line="240" w:lineRule="auto"/>
      </w:pPr>
    </w:p>
    <w:p w14:paraId="5E81FF26" w14:textId="50A5613B" w:rsidR="005108EF" w:rsidRDefault="00A63831" w:rsidP="005108EF">
      <w:pPr>
        <w:spacing w:after="0" w:line="240" w:lineRule="auto"/>
      </w:pPr>
      <w:r>
        <w:t xml:space="preserve">In </w:t>
      </w:r>
      <w:r w:rsidR="00C165BC">
        <w:t>enabling quirky scholarship</w:t>
      </w:r>
      <w:r>
        <w:t>,</w:t>
      </w:r>
      <w:r w:rsidR="00C165BC">
        <w:t xml:space="preserve"> w</w:t>
      </w:r>
      <w:r w:rsidR="005F39BC">
        <w:t xml:space="preserve">e rely on </w:t>
      </w:r>
      <w:r w:rsidR="00211124">
        <w:t xml:space="preserve">the </w:t>
      </w:r>
      <w:r w:rsidR="005F39BC">
        <w:t>commit</w:t>
      </w:r>
      <w:r w:rsidR="00211124">
        <w:t>ment and generosity of our</w:t>
      </w:r>
      <w:r w:rsidR="005F39BC">
        <w:t xml:space="preserve"> International Editorial Board members and reviewers </w:t>
      </w:r>
      <w:r>
        <w:t xml:space="preserve">who </w:t>
      </w:r>
      <w:r w:rsidR="00C165BC">
        <w:t>remain</w:t>
      </w:r>
      <w:r w:rsidR="00211124">
        <w:t xml:space="preserve"> </w:t>
      </w:r>
      <w:r w:rsidR="005F39BC">
        <w:t xml:space="preserve">open to the unexpected while also guiding authors </w:t>
      </w:r>
      <w:r w:rsidR="00211124">
        <w:t xml:space="preserve">in </w:t>
      </w:r>
      <w:r w:rsidR="005F39BC">
        <w:t xml:space="preserve">reflecting on their claims and refining them in the presence of a sympathetic audience. </w:t>
      </w:r>
      <w:r w:rsidR="00C165BC">
        <w:t xml:space="preserve">This </w:t>
      </w:r>
      <w:r w:rsidR="005F39BC">
        <w:t xml:space="preserve">involves working with authors to cultivate and nurture </w:t>
      </w:r>
      <w:r>
        <w:t xml:space="preserve">their </w:t>
      </w:r>
      <w:r w:rsidR="005F39BC">
        <w:t xml:space="preserve">contributions and make them broadly accessible to potential audiences. </w:t>
      </w:r>
      <w:r w:rsidR="00CB482E">
        <w:t xml:space="preserve">We are </w:t>
      </w:r>
      <w:r w:rsidR="002448EF">
        <w:t xml:space="preserve">therefore </w:t>
      </w:r>
      <w:r w:rsidR="00CB482E">
        <w:t xml:space="preserve">saddened by accounts of the </w:t>
      </w:r>
      <w:r w:rsidR="00211124">
        <w:t xml:space="preserve">journal </w:t>
      </w:r>
      <w:r w:rsidR="00CB482E">
        <w:t xml:space="preserve">review process which suggest it </w:t>
      </w:r>
      <w:r w:rsidR="007A6DBB">
        <w:t xml:space="preserve">is a humiliating experience that </w:t>
      </w:r>
      <w:r w:rsidR="00E96F08">
        <w:t>tends to</w:t>
      </w:r>
      <w:r w:rsidR="00211124">
        <w:t xml:space="preserve"> </w:t>
      </w:r>
      <w:r w:rsidR="00CB482E">
        <w:t xml:space="preserve">crush the spirit and erode the passion that we consider a vital element </w:t>
      </w:r>
      <w:r w:rsidR="00E96F08">
        <w:t>o</w:t>
      </w:r>
      <w:r w:rsidR="00CB482E">
        <w:t xml:space="preserve">f </w:t>
      </w:r>
      <w:r w:rsidR="00E96F08">
        <w:t>quirky</w:t>
      </w:r>
      <w:r w:rsidR="00CB482E">
        <w:t xml:space="preserve"> </w:t>
      </w:r>
      <w:r w:rsidR="007A6DBB">
        <w:t>scholarship</w:t>
      </w:r>
      <w:r w:rsidR="00CB482E">
        <w:t xml:space="preserve">. </w:t>
      </w:r>
      <w:r w:rsidR="00211124">
        <w:t>C</w:t>
      </w:r>
      <w:r w:rsidR="00CB482E">
        <w:t xml:space="preserve">ederström and Spicer (2017) </w:t>
      </w:r>
      <w:r w:rsidR="007A6DBB">
        <w:t>d</w:t>
      </w:r>
      <w:r w:rsidR="00CB482E">
        <w:t xml:space="preserve">escribe the process of putting ‘thousands of hours’ into an article only to have it rejected by several journals, eventually publishing it ten years after writing the original manuscript: ‘[a]ll intellectual excitement had been beaten out of us. It no longer felt like our words. It was now just an assemblage of what the reviewers wanted us to write, thinly disguised as an academic article’ (p.708). </w:t>
      </w:r>
      <w:r w:rsidR="00E96F08">
        <w:t>W</w:t>
      </w:r>
      <w:r w:rsidR="005108EF">
        <w:t xml:space="preserve">hat Cederström and Spicer describe </w:t>
      </w:r>
      <w:r>
        <w:t xml:space="preserve">is a consequence of </w:t>
      </w:r>
      <w:r w:rsidR="005108EF">
        <w:t xml:space="preserve">the complex </w:t>
      </w:r>
      <w:r w:rsidR="00E96F08">
        <w:t>power dynamic</w:t>
      </w:r>
      <w:r w:rsidR="005108EF">
        <w:t>s</w:t>
      </w:r>
      <w:r w:rsidR="00E96F08">
        <w:t xml:space="preserve"> that characterise the</w:t>
      </w:r>
      <w:r w:rsidR="005108EF">
        <w:t xml:space="preserve"> </w:t>
      </w:r>
      <w:r>
        <w:t xml:space="preserve">academic </w:t>
      </w:r>
      <w:r w:rsidR="005108EF">
        <w:t>peer-</w:t>
      </w:r>
      <w:r w:rsidR="00E96F08">
        <w:t>review process</w:t>
      </w:r>
      <w:r w:rsidR="005108EF">
        <w:t xml:space="preserve">, </w:t>
      </w:r>
      <w:r>
        <w:t xml:space="preserve">where </w:t>
      </w:r>
      <w:r w:rsidR="005108EF">
        <w:t xml:space="preserve">knowledge claims are socially constituted </w:t>
      </w:r>
      <w:r>
        <w:t xml:space="preserve">through </w:t>
      </w:r>
      <w:r w:rsidR="005108EF">
        <w:t xml:space="preserve">a process of </w:t>
      </w:r>
      <w:r>
        <w:t xml:space="preserve">unequal </w:t>
      </w:r>
      <w:r w:rsidR="005108EF">
        <w:t>negotiation (Bedeian, 2004)</w:t>
      </w:r>
      <w:r w:rsidR="00E96F08">
        <w:t xml:space="preserve">. </w:t>
      </w:r>
      <w:r w:rsidR="005108EF">
        <w:t xml:space="preserve">Yet occasionally, when it works well, </w:t>
      </w:r>
      <w:r w:rsidR="00237874">
        <w:t>intellectual conversation</w:t>
      </w:r>
      <w:r>
        <w:t>s</w:t>
      </w:r>
      <w:r w:rsidR="005108EF">
        <w:t xml:space="preserve"> between reviewers and authors may be </w:t>
      </w:r>
      <w:r w:rsidR="00237874">
        <w:t xml:space="preserve">experienced as </w:t>
      </w:r>
      <w:r w:rsidR="005108EF">
        <w:t xml:space="preserve">liberating - see for example Tomkins and Ulus who talk about their experience of being </w:t>
      </w:r>
      <w:r w:rsidR="005108EF" w:rsidRPr="00B7612C">
        <w:t>encouraged</w:t>
      </w:r>
      <w:r w:rsidR="005108EF">
        <w:t xml:space="preserve"> by </w:t>
      </w:r>
      <w:r w:rsidR="005108EF" w:rsidRPr="007A6DBB">
        <w:rPr>
          <w:i/>
        </w:rPr>
        <w:t>Management Learning</w:t>
      </w:r>
      <w:r w:rsidR="005108EF">
        <w:t xml:space="preserve"> reviewers</w:t>
      </w:r>
      <w:r w:rsidR="005108EF" w:rsidRPr="00B7612C">
        <w:t xml:space="preserve"> to take risks in </w:t>
      </w:r>
      <w:r w:rsidR="005108EF">
        <w:t xml:space="preserve">their development of </w:t>
      </w:r>
      <w:r w:rsidR="005108EF" w:rsidRPr="00B7612C">
        <w:t>critiques of established practice</w:t>
      </w:r>
      <w:r w:rsidR="00C030B1">
        <w:rPr>
          <w:rStyle w:val="EndnoteReference"/>
        </w:rPr>
        <w:endnoteReference w:id="2"/>
      </w:r>
      <w:r w:rsidR="005108EF">
        <w:t xml:space="preserve">. </w:t>
      </w:r>
    </w:p>
    <w:p w14:paraId="38B0F1CC" w14:textId="77777777" w:rsidR="005108EF" w:rsidRDefault="005108EF" w:rsidP="000F569F">
      <w:pPr>
        <w:spacing w:after="0" w:line="240" w:lineRule="auto"/>
      </w:pPr>
    </w:p>
    <w:p w14:paraId="22D2AE89" w14:textId="70F182C5" w:rsidR="00CB2AA9" w:rsidRDefault="00CB482E" w:rsidP="000F569F">
      <w:pPr>
        <w:spacing w:after="0" w:line="240" w:lineRule="auto"/>
      </w:pPr>
      <w:r>
        <w:t xml:space="preserve">What </w:t>
      </w:r>
      <w:r w:rsidR="00211124">
        <w:t xml:space="preserve">we interpret Cederström and Spicer (2017) </w:t>
      </w:r>
      <w:r w:rsidR="005108EF">
        <w:t xml:space="preserve">also </w:t>
      </w:r>
      <w:r w:rsidR="00A63831">
        <w:t xml:space="preserve">to </w:t>
      </w:r>
      <w:r w:rsidR="00211124">
        <w:t xml:space="preserve">be </w:t>
      </w:r>
      <w:r>
        <w:t>describ</w:t>
      </w:r>
      <w:r w:rsidR="00211124">
        <w:t>ing</w:t>
      </w:r>
      <w:r>
        <w:t xml:space="preserve"> is the process of producing ‘formulaic’ articles – ‘truly joyless text</w:t>
      </w:r>
      <w:r w:rsidR="00237874">
        <w:t>[s]</w:t>
      </w:r>
      <w:r>
        <w:t>, whose publication may bring relief or even a sense of victory but no deep fulfilment’ (Alvesson and Gabriel, 2013: 253).</w:t>
      </w:r>
      <w:r w:rsidR="00211124">
        <w:t xml:space="preserve"> </w:t>
      </w:r>
      <w:r w:rsidR="008C79B7">
        <w:t xml:space="preserve">At </w:t>
      </w:r>
      <w:r w:rsidR="008C79B7" w:rsidRPr="008211DF">
        <w:rPr>
          <w:i/>
        </w:rPr>
        <w:t>Management Learning</w:t>
      </w:r>
      <w:r w:rsidR="008C79B7">
        <w:t xml:space="preserve"> we </w:t>
      </w:r>
      <w:r w:rsidR="00251756">
        <w:t>are committed to going beyond</w:t>
      </w:r>
      <w:r w:rsidR="00237874">
        <w:t xml:space="preserve"> ‘formulaic research’</w:t>
      </w:r>
      <w:r w:rsidR="008C79B7">
        <w:t xml:space="preserve"> which resorts to the use of standardised language and is organised into highly predictable sections: introduction, literature review, methods section, results/findings, discussion and conclusion (Alvesson and Gabriel, 2013).</w:t>
      </w:r>
      <w:r w:rsidR="00CB2AA9">
        <w:t xml:space="preserve"> One of the ways in which Alvesson and Gabriel suggest the tendency towards formulaic articles can be overcome, is by encouraging condensed paper</w:t>
      </w:r>
      <w:r w:rsidR="00AC6F6C">
        <w:t>s</w:t>
      </w:r>
      <w:r w:rsidR="00CB2AA9">
        <w:t xml:space="preserve"> which have a strong clear message, rather than conforming to the tendency for papers to expand considerably (12,000 words not being unusual), as authors seek to accommodate the requirements of reviewers and associate editors. </w:t>
      </w:r>
      <w:r w:rsidR="008E124F">
        <w:t>We share Alvesson and Gabriel’s</w:t>
      </w:r>
      <w:r w:rsidR="00EF4B5B">
        <w:t xml:space="preserve"> </w:t>
      </w:r>
      <w:r w:rsidR="008E124F">
        <w:t>belief that</w:t>
      </w:r>
      <w:r w:rsidR="00C030B1">
        <w:t xml:space="preserve"> </w:t>
      </w:r>
      <w:r w:rsidR="00CB2AA9">
        <w:t xml:space="preserve">articles should not become overly lengthy as a consequence of peer-reviewing conventions and for this reason the journal has recently introduced an </w:t>
      </w:r>
      <w:r w:rsidR="008E124F">
        <w:t xml:space="preserve">all-inclusive 9000-word limit for initial submissions, which can be exceeded a little as the paper moves through the review process. </w:t>
      </w:r>
    </w:p>
    <w:p w14:paraId="2D211E18" w14:textId="77777777" w:rsidR="00CB2AA9" w:rsidRDefault="00CB2AA9" w:rsidP="000F569F">
      <w:pPr>
        <w:spacing w:after="0" w:line="240" w:lineRule="auto"/>
      </w:pPr>
    </w:p>
    <w:p w14:paraId="2BC920B6" w14:textId="12B9BBED" w:rsidR="008E124F" w:rsidRDefault="000E4437" w:rsidP="004033EA">
      <w:pPr>
        <w:spacing w:after="0" w:line="240" w:lineRule="auto"/>
      </w:pPr>
      <w:r>
        <w:t>A</w:t>
      </w:r>
      <w:r w:rsidR="004E51F9">
        <w:t xml:space="preserve"> further</w:t>
      </w:r>
      <w:r w:rsidR="00237874">
        <w:t xml:space="preserve">, and </w:t>
      </w:r>
      <w:r w:rsidR="004E51F9">
        <w:t xml:space="preserve">potentially </w:t>
      </w:r>
      <w:r w:rsidR="00237874">
        <w:t xml:space="preserve">more controversial, way in which </w:t>
      </w:r>
      <w:r w:rsidR="00237874" w:rsidRPr="0053490A">
        <w:rPr>
          <w:i/>
        </w:rPr>
        <w:t>Management Learning</w:t>
      </w:r>
      <w:r w:rsidR="00237874">
        <w:t xml:space="preserve"> articles may be understood as ‘quirky’ arises from calling into question received understandings of </w:t>
      </w:r>
      <w:r>
        <w:t xml:space="preserve">acceptable </w:t>
      </w:r>
      <w:r w:rsidR="00237874">
        <w:t xml:space="preserve">academic writing. As has been said by others, there is a tendency, particularly among some critical, </w:t>
      </w:r>
      <w:r w:rsidR="00E7525E">
        <w:t>philosophically-minded scholars, for academ</w:t>
      </w:r>
      <w:r>
        <w:t>ic articles to be written in a way</w:t>
      </w:r>
      <w:r w:rsidR="00E7525E">
        <w:t xml:space="preserve"> </w:t>
      </w:r>
      <w:r w:rsidR="00251756">
        <w:t xml:space="preserve">that </w:t>
      </w:r>
      <w:r>
        <w:t>is</w:t>
      </w:r>
      <w:r w:rsidR="00251756">
        <w:t xml:space="preserve"> </w:t>
      </w:r>
      <w:r w:rsidR="004F5BED">
        <w:t xml:space="preserve">abstract, obtuse and </w:t>
      </w:r>
      <w:r w:rsidR="00251756">
        <w:t>impenetrab</w:t>
      </w:r>
      <w:r w:rsidR="00A63831">
        <w:t>le to all but a small group of i</w:t>
      </w:r>
      <w:r w:rsidR="00251756">
        <w:t>nsiders</w:t>
      </w:r>
      <w:r w:rsidR="00E7525E">
        <w:t xml:space="preserve"> (Grey and Sinclair, 2006)</w:t>
      </w:r>
      <w:r w:rsidR="00251756">
        <w:t xml:space="preserve">. </w:t>
      </w:r>
      <w:r w:rsidR="0054014B">
        <w:t xml:space="preserve">Cederström and Spicer describe how </w:t>
      </w:r>
      <w:r>
        <w:t xml:space="preserve">the </w:t>
      </w:r>
      <w:r w:rsidR="00420D8F">
        <w:t xml:space="preserve">formulaic </w:t>
      </w:r>
      <w:r>
        <w:t xml:space="preserve">requirements of journal publishing </w:t>
      </w:r>
      <w:r w:rsidR="0054014B">
        <w:t xml:space="preserve">drove them to want to write differently, addressing extra-academic audiences in a critical reflexive manner. We </w:t>
      </w:r>
      <w:r w:rsidR="00A63831">
        <w:t xml:space="preserve">are </w:t>
      </w:r>
      <w:r w:rsidR="0054014B">
        <w:t>support</w:t>
      </w:r>
      <w:r w:rsidR="00A63831">
        <w:t>ive</w:t>
      </w:r>
      <w:r w:rsidR="0054014B">
        <w:t xml:space="preserve"> this form of scholarly activity, as discussed in last year</w:t>
      </w:r>
      <w:r w:rsidR="004E51F9">
        <w:t>’s editorial which focused on the conc</w:t>
      </w:r>
      <w:r w:rsidR="0054014B">
        <w:t>ept of ‘engagement’</w:t>
      </w:r>
      <w:r w:rsidR="00EF4B5B">
        <w:t xml:space="preserve"> (Bell and Bridgman, 2017)</w:t>
      </w:r>
      <w:r w:rsidR="0054014B">
        <w:t xml:space="preserve">. </w:t>
      </w:r>
      <w:r w:rsidR="007A46D9">
        <w:t>Unexpected scholarship</w:t>
      </w:r>
      <w:r w:rsidR="00A63831">
        <w:t xml:space="preserve"> therefore</w:t>
      </w:r>
      <w:r w:rsidR="007A46D9">
        <w:t xml:space="preserve"> requires us as authors, editors and reviewers to remain open to diverse ways of communicating ideas that are published in the journal. </w:t>
      </w:r>
      <w:r w:rsidR="00A63831">
        <w:t xml:space="preserve">An example </w:t>
      </w:r>
      <w:r w:rsidR="007A46D9">
        <w:t xml:space="preserve">concerns the work of our talented Social Media Editor, Deborah Brewis, who has grown the journal’s presence on social media platforms including Twitter and Facebook and produces the video series ‘Management Learning </w:t>
      </w:r>
      <w:r w:rsidR="007A46D9" w:rsidRPr="009F491C">
        <w:rPr>
          <w:rFonts w:cstheme="minorHAnsi"/>
        </w:rPr>
        <w:t>Meets’</w:t>
      </w:r>
      <w:r w:rsidR="007A46D9">
        <w:t xml:space="preserve">.  </w:t>
      </w:r>
      <w:r w:rsidR="00A63831">
        <w:t>In addition, w</w:t>
      </w:r>
      <w:r w:rsidR="007A46D9">
        <w:t xml:space="preserve">e encourage </w:t>
      </w:r>
      <w:r w:rsidR="007A46D9" w:rsidRPr="00DD738D">
        <w:rPr>
          <w:i/>
        </w:rPr>
        <w:t>Management Learning</w:t>
      </w:r>
      <w:r w:rsidR="007A46D9">
        <w:t xml:space="preserve"> authors to be proactive in taking up th</w:t>
      </w:r>
      <w:r w:rsidR="00A63831">
        <w:t>e</w:t>
      </w:r>
      <w:r w:rsidR="007A46D9">
        <w:t xml:space="preserve"> challenge</w:t>
      </w:r>
      <w:r w:rsidR="00A63831">
        <w:t xml:space="preserve"> of bringing the value of quirky scholarship to wide audiences</w:t>
      </w:r>
      <w:r w:rsidR="007A46D9">
        <w:t xml:space="preserve">, </w:t>
      </w:r>
      <w:r w:rsidR="00A63831">
        <w:t xml:space="preserve">such as </w:t>
      </w:r>
      <w:r w:rsidR="007A46D9">
        <w:t>by contributing to the SAGE Ink blog or producing their own videos and educational resources based on articles published they publish in the journal.</w:t>
      </w:r>
    </w:p>
    <w:p w14:paraId="2898C652" w14:textId="77777777" w:rsidR="008E124F" w:rsidRDefault="008E124F" w:rsidP="004033EA">
      <w:pPr>
        <w:spacing w:after="0" w:line="240" w:lineRule="auto"/>
      </w:pPr>
    </w:p>
    <w:p w14:paraId="1B5E0CA3" w14:textId="330B86C6" w:rsidR="007A46D9" w:rsidRDefault="004E51F9" w:rsidP="008E124F">
      <w:pPr>
        <w:spacing w:after="0" w:line="240" w:lineRule="auto"/>
      </w:pPr>
      <w:r>
        <w:t xml:space="preserve">However, </w:t>
      </w:r>
      <w:r w:rsidR="007A46D9">
        <w:t xml:space="preserve">in </w:t>
      </w:r>
      <w:r w:rsidR="008B3DD4">
        <w:t>this</w:t>
      </w:r>
      <w:r w:rsidR="007A46D9">
        <w:t xml:space="preserve"> multimodal environment it is important not to lose sight of the importance of the written article. I</w:t>
      </w:r>
      <w:r w:rsidR="000E4437">
        <w:t>n our view,</w:t>
      </w:r>
      <w:r w:rsidR="00015217">
        <w:t xml:space="preserve"> </w:t>
      </w:r>
      <w:r w:rsidR="008E124F">
        <w:t xml:space="preserve">it would </w:t>
      </w:r>
      <w:r w:rsidR="00015217">
        <w:t xml:space="preserve">be </w:t>
      </w:r>
      <w:r>
        <w:t xml:space="preserve">a significant loss if </w:t>
      </w:r>
      <w:r w:rsidR="00015217">
        <w:t>journal publi</w:t>
      </w:r>
      <w:r>
        <w:t>shing</w:t>
      </w:r>
      <w:r w:rsidR="00015217">
        <w:t xml:space="preserve"> </w:t>
      </w:r>
      <w:r w:rsidR="008E124F">
        <w:t xml:space="preserve">in our field became </w:t>
      </w:r>
      <w:r>
        <w:t xml:space="preserve">a </w:t>
      </w:r>
      <w:r w:rsidR="008E124F">
        <w:t>medium w</w:t>
      </w:r>
      <w:r w:rsidR="008B3DD4">
        <w:t>ithout an audience that</w:t>
      </w:r>
      <w:r w:rsidR="005001D1">
        <w:t xml:space="preserve"> exist</w:t>
      </w:r>
      <w:r w:rsidR="008B3DD4">
        <w:t>ed</w:t>
      </w:r>
      <w:r w:rsidR="005001D1">
        <w:t xml:space="preserve"> pri</w:t>
      </w:r>
      <w:r w:rsidR="000E4437">
        <w:t>ncipally</w:t>
      </w:r>
      <w:r w:rsidR="005001D1">
        <w:t xml:space="preserve"> as a means through which </w:t>
      </w:r>
      <w:r>
        <w:t xml:space="preserve">academics </w:t>
      </w:r>
      <w:r w:rsidR="005001D1">
        <w:t xml:space="preserve">demonstrate compliance </w:t>
      </w:r>
      <w:r>
        <w:t xml:space="preserve">with </w:t>
      </w:r>
      <w:r w:rsidR="00015217">
        <w:t xml:space="preserve">university audit regimes. </w:t>
      </w:r>
      <w:r w:rsidR="007A46D9">
        <w:t xml:space="preserve">We therefore believe </w:t>
      </w:r>
      <w:r w:rsidR="000E4437">
        <w:t>that</w:t>
      </w:r>
      <w:r>
        <w:t xml:space="preserve"> j</w:t>
      </w:r>
      <w:r w:rsidR="00F803B5">
        <w:t xml:space="preserve">ournals </w:t>
      </w:r>
      <w:r>
        <w:t xml:space="preserve">such as this one </w:t>
      </w:r>
      <w:r w:rsidR="00F803B5" w:rsidRPr="004E51F9">
        <w:t>must p</w:t>
      </w:r>
      <w:r w:rsidR="00F803B5">
        <w:t>ublish work that is ‘intellectually vivid without being academically constipated’</w:t>
      </w:r>
      <w:r>
        <w:t>, rather than this being the sole preserve of books for the educated general reader and essays for intellectual magazines (Cederström and Spicer, 2017: 709)</w:t>
      </w:r>
      <w:r w:rsidR="00F803B5">
        <w:t>.</w:t>
      </w:r>
      <w:r w:rsidR="005001D1">
        <w:t xml:space="preserve"> </w:t>
      </w:r>
    </w:p>
    <w:p w14:paraId="5E27F528" w14:textId="77777777" w:rsidR="007A46D9" w:rsidRDefault="007A46D9" w:rsidP="008E124F">
      <w:pPr>
        <w:spacing w:after="0" w:line="240" w:lineRule="auto"/>
      </w:pPr>
    </w:p>
    <w:p w14:paraId="1057B270" w14:textId="01D05866" w:rsidR="008E124F" w:rsidRDefault="008B3DD4" w:rsidP="008E124F">
      <w:pPr>
        <w:spacing w:after="0" w:line="240" w:lineRule="auto"/>
      </w:pPr>
      <w:r>
        <w:t>It is for this reason that a</w:t>
      </w:r>
      <w:r w:rsidR="00707689">
        <w:t xml:space="preserve">n increasing number of </w:t>
      </w:r>
      <w:r w:rsidR="000E4437">
        <w:t xml:space="preserve">management and organisational </w:t>
      </w:r>
      <w:r w:rsidR="00707689">
        <w:t xml:space="preserve">scholars </w:t>
      </w:r>
      <w:r w:rsidR="008211DF">
        <w:t xml:space="preserve">are </w:t>
      </w:r>
      <w:r w:rsidR="00707689">
        <w:t xml:space="preserve">seeking </w:t>
      </w:r>
      <w:r w:rsidR="000E4437">
        <w:t xml:space="preserve">out </w:t>
      </w:r>
      <w:r w:rsidR="00FA0196">
        <w:t xml:space="preserve">opportunities to </w:t>
      </w:r>
      <w:r w:rsidR="000E4437">
        <w:t xml:space="preserve">explore different forms and ways of </w:t>
      </w:r>
      <w:r w:rsidR="00FA0196">
        <w:t>writ</w:t>
      </w:r>
      <w:r w:rsidR="000E4437">
        <w:t>ing</w:t>
      </w:r>
      <w:r w:rsidR="00FA0196">
        <w:t xml:space="preserve">.  </w:t>
      </w:r>
      <w:r w:rsidR="005001D1">
        <w:t xml:space="preserve">The significance of this trend </w:t>
      </w:r>
      <w:r w:rsidR="000E4437">
        <w:t xml:space="preserve">is evident </w:t>
      </w:r>
      <w:r w:rsidR="005001D1">
        <w:t>from the</w:t>
      </w:r>
      <w:r w:rsidR="007A46D9">
        <w:t xml:space="preserve"> response to the</w:t>
      </w:r>
      <w:r w:rsidR="005001D1">
        <w:t xml:space="preserve"> </w:t>
      </w:r>
      <w:r w:rsidR="000E4437">
        <w:t xml:space="preserve">recent </w:t>
      </w:r>
      <w:r w:rsidR="00EF4B5B" w:rsidRPr="00C030B1">
        <w:rPr>
          <w:i/>
        </w:rPr>
        <w:t>Management Learning</w:t>
      </w:r>
      <w:r w:rsidR="00EF4B5B">
        <w:t xml:space="preserve"> </w:t>
      </w:r>
      <w:r w:rsidR="005001D1">
        <w:t xml:space="preserve">Special Issue </w:t>
      </w:r>
      <w:r w:rsidR="008E124F">
        <w:t>C</w:t>
      </w:r>
      <w:r w:rsidR="000E4437">
        <w:t xml:space="preserve">all </w:t>
      </w:r>
      <w:r w:rsidR="005001D1">
        <w:t xml:space="preserve">on </w:t>
      </w:r>
      <w:r w:rsidR="00FA0196">
        <w:t>‘</w:t>
      </w:r>
      <w:r w:rsidR="008211DF">
        <w:t>W</w:t>
      </w:r>
      <w:r w:rsidR="00FA0196">
        <w:t xml:space="preserve">riting </w:t>
      </w:r>
      <w:r w:rsidR="008211DF">
        <w:t>D</w:t>
      </w:r>
      <w:r w:rsidR="000E4437">
        <w:t>ifferently’</w:t>
      </w:r>
      <w:r w:rsidR="00FA0196">
        <w:t xml:space="preserve">, </w:t>
      </w:r>
      <w:r w:rsidR="0053490A">
        <w:t xml:space="preserve">guest </w:t>
      </w:r>
      <w:r w:rsidR="005001D1">
        <w:t xml:space="preserve">edited by </w:t>
      </w:r>
      <w:r w:rsidR="000E4437">
        <w:t xml:space="preserve">Sarah Gilmore, Nancy Harding, Jenny Helin and Alison Pullen </w:t>
      </w:r>
      <w:r w:rsidR="008E124F">
        <w:t>(</w:t>
      </w:r>
      <w:r w:rsidR="007A46D9">
        <w:t xml:space="preserve">scheduled for </w:t>
      </w:r>
      <w:r w:rsidR="008E124F">
        <w:t xml:space="preserve">publication </w:t>
      </w:r>
      <w:r w:rsidR="007A46D9">
        <w:t>in</w:t>
      </w:r>
      <w:r w:rsidR="008E124F">
        <w:t xml:space="preserve"> </w:t>
      </w:r>
      <w:r w:rsidR="00FA0196">
        <w:t>201</w:t>
      </w:r>
      <w:r w:rsidR="000759F1">
        <w:t>9</w:t>
      </w:r>
      <w:r w:rsidR="008E124F">
        <w:t>)</w:t>
      </w:r>
      <w:r w:rsidR="00FA0196">
        <w:t xml:space="preserve">. </w:t>
      </w:r>
      <w:r w:rsidR="000E4437">
        <w:t>Rem</w:t>
      </w:r>
      <w:r w:rsidR="00D57913">
        <w:t xml:space="preserve">aking the boundaries of what constitutes an </w:t>
      </w:r>
      <w:r w:rsidR="002944F3">
        <w:t xml:space="preserve">academic </w:t>
      </w:r>
      <w:r w:rsidR="00D57913">
        <w:t xml:space="preserve">journal </w:t>
      </w:r>
      <w:r w:rsidR="005001D1">
        <w:t xml:space="preserve">article </w:t>
      </w:r>
      <w:r w:rsidR="000E4437">
        <w:t>in way</w:t>
      </w:r>
      <w:r w:rsidR="007A46D9">
        <w:t>s</w:t>
      </w:r>
      <w:r w:rsidR="000E4437">
        <w:t xml:space="preserve"> </w:t>
      </w:r>
      <w:r w:rsidR="007A46D9">
        <w:t>that are</w:t>
      </w:r>
      <w:r w:rsidR="000E4437">
        <w:t xml:space="preserve"> </w:t>
      </w:r>
      <w:r w:rsidR="005001D1">
        <w:t xml:space="preserve">more permeable </w:t>
      </w:r>
      <w:r w:rsidR="007A46D9">
        <w:t>can help to s</w:t>
      </w:r>
      <w:r w:rsidR="002944F3">
        <w:t>timulat</w:t>
      </w:r>
      <w:r w:rsidR="007A46D9">
        <w:t>e enhanced</w:t>
      </w:r>
      <w:r w:rsidR="002944F3">
        <w:t xml:space="preserve"> creativity and innovation. The challenge </w:t>
      </w:r>
      <w:r w:rsidR="000E4437">
        <w:t xml:space="preserve">that arises </w:t>
      </w:r>
      <w:r w:rsidR="007A46D9">
        <w:t>from</w:t>
      </w:r>
      <w:r w:rsidR="005001D1">
        <w:t xml:space="preserve"> en</w:t>
      </w:r>
      <w:r w:rsidR="0050743C">
        <w:t>courag</w:t>
      </w:r>
      <w:r w:rsidR="005001D1">
        <w:t xml:space="preserve">ing </w:t>
      </w:r>
      <w:r w:rsidR="00EF4B5B">
        <w:t>quirkier</w:t>
      </w:r>
      <w:r w:rsidR="000E4437">
        <w:t xml:space="preserve"> forms of academic writing is in </w:t>
      </w:r>
      <w:r w:rsidR="007A46D9">
        <w:t>making sure</w:t>
      </w:r>
      <w:r w:rsidR="000E4437">
        <w:t xml:space="preserve"> that</w:t>
      </w:r>
      <w:r w:rsidR="007A46D9">
        <w:t>,</w:t>
      </w:r>
      <w:r w:rsidR="000E4437">
        <w:t xml:space="preserve"> </w:t>
      </w:r>
      <w:r w:rsidR="008E124F">
        <w:t xml:space="preserve">by </w:t>
      </w:r>
      <w:r w:rsidR="000E4437">
        <w:t xml:space="preserve">blurring the </w:t>
      </w:r>
      <w:r w:rsidR="008E124F">
        <w:t>boundaries</w:t>
      </w:r>
      <w:r w:rsidR="007A46D9">
        <w:t>,</w:t>
      </w:r>
      <w:r w:rsidR="000E4437">
        <w:t xml:space="preserve"> </w:t>
      </w:r>
      <w:r w:rsidR="0050743C">
        <w:t xml:space="preserve">the </w:t>
      </w:r>
      <w:r w:rsidR="000E4437">
        <w:t xml:space="preserve">perceived quality and </w:t>
      </w:r>
      <w:r w:rsidR="0050743C">
        <w:t>integrity of the journal</w:t>
      </w:r>
      <w:r w:rsidR="007A46D9">
        <w:t xml:space="preserve"> is not compromised</w:t>
      </w:r>
      <w:r w:rsidR="005001D1">
        <w:t>.</w:t>
      </w:r>
      <w:r w:rsidR="000E4437">
        <w:t xml:space="preserve"> </w:t>
      </w:r>
      <w:r w:rsidR="008211DF">
        <w:t>W</w:t>
      </w:r>
      <w:r w:rsidR="00D23E30">
        <w:t xml:space="preserve">e </w:t>
      </w:r>
      <w:r w:rsidR="000E4437">
        <w:t xml:space="preserve">therefore </w:t>
      </w:r>
      <w:r w:rsidR="00D23E30">
        <w:t xml:space="preserve">welcome feedback from </w:t>
      </w:r>
      <w:r w:rsidR="000E4437" w:rsidRPr="000E4437">
        <w:rPr>
          <w:i/>
        </w:rPr>
        <w:t>Management Learning</w:t>
      </w:r>
      <w:r w:rsidR="00D23E30">
        <w:t xml:space="preserve"> authors, reviewers and readers on </w:t>
      </w:r>
      <w:r w:rsidR="000E4437">
        <w:t xml:space="preserve">how the journal might </w:t>
      </w:r>
      <w:r w:rsidR="008E124F">
        <w:t xml:space="preserve">pursue these agendas in future. </w:t>
      </w:r>
      <w:r w:rsidR="00461018">
        <w:t xml:space="preserve">For example, </w:t>
      </w:r>
      <w:r w:rsidR="008E124F">
        <w:t xml:space="preserve">are there </w:t>
      </w:r>
      <w:r w:rsidR="00461018">
        <w:t>instances where locating the work within a relevant body of literature might not be warranted</w:t>
      </w:r>
      <w:r w:rsidR="008E124F">
        <w:t xml:space="preserve"> and </w:t>
      </w:r>
      <w:r w:rsidR="005F6454">
        <w:t xml:space="preserve">requiring authors to connect to </w:t>
      </w:r>
      <w:r w:rsidR="008E124F">
        <w:t xml:space="preserve">existing </w:t>
      </w:r>
      <w:r w:rsidR="005F6454">
        <w:t xml:space="preserve">conversations in the journal limit </w:t>
      </w:r>
      <w:r w:rsidR="008E124F">
        <w:t xml:space="preserve">can limit </w:t>
      </w:r>
      <w:r w:rsidR="005F6454">
        <w:t>the possibilities fo</w:t>
      </w:r>
      <w:r w:rsidR="00FA303B">
        <w:t xml:space="preserve">r </w:t>
      </w:r>
      <w:r w:rsidR="008E124F">
        <w:t xml:space="preserve">disruptive </w:t>
      </w:r>
      <w:r w:rsidR="00FA303B">
        <w:t>conversations</w:t>
      </w:r>
      <w:r w:rsidR="008E124F">
        <w:t xml:space="preserve"> or saying the unsayable</w:t>
      </w:r>
      <w:r w:rsidR="00FA303B">
        <w:t xml:space="preserve">? </w:t>
      </w:r>
      <w:r w:rsidR="008E124F">
        <w:t>There is value, we believe, in thinking about and debating these issues, whilst acknowledging these might be uncomfortable or difficult conversations.</w:t>
      </w:r>
    </w:p>
    <w:p w14:paraId="0026A2ED" w14:textId="77777777" w:rsidR="008E124F" w:rsidRDefault="008E124F" w:rsidP="004033EA">
      <w:pPr>
        <w:spacing w:after="0" w:line="240" w:lineRule="auto"/>
      </w:pPr>
    </w:p>
    <w:p w14:paraId="000256D7" w14:textId="67818305" w:rsidR="002448EF" w:rsidRDefault="008E124F" w:rsidP="002448EF">
      <w:pPr>
        <w:spacing w:after="0" w:line="240" w:lineRule="auto"/>
      </w:pPr>
      <w:r>
        <w:t xml:space="preserve">While there are numerous </w:t>
      </w:r>
      <w:r w:rsidR="002448EF">
        <w:t>examples of quirk</w:t>
      </w:r>
      <w:r>
        <w:t xml:space="preserve">y articles </w:t>
      </w:r>
      <w:r w:rsidR="002448EF">
        <w:t xml:space="preserve">in </w:t>
      </w:r>
      <w:r w:rsidR="002448EF" w:rsidRPr="008211DF">
        <w:rPr>
          <w:i/>
        </w:rPr>
        <w:t>Management Learning</w:t>
      </w:r>
      <w:r>
        <w:rPr>
          <w:i/>
        </w:rPr>
        <w:t>,</w:t>
      </w:r>
      <w:r w:rsidR="002448EF">
        <w:t xml:space="preserve"> </w:t>
      </w:r>
      <w:r>
        <w:t xml:space="preserve">we take this opportunity to refer to two published in the journal very recently. The first is </w:t>
      </w:r>
      <w:r w:rsidR="002448EF">
        <w:t>Willems’</w:t>
      </w:r>
      <w:r>
        <w:t xml:space="preserve"> (</w:t>
      </w:r>
      <w:r w:rsidR="00EF13EE">
        <w:t>published in this issue</w:t>
      </w:r>
      <w:r>
        <w:t>)</w:t>
      </w:r>
      <w:r w:rsidR="002448EF">
        <w:t xml:space="preserve"> ethnographic study of train dispatchers. </w:t>
      </w:r>
      <w:r>
        <w:t xml:space="preserve">Willems </w:t>
      </w:r>
      <w:r w:rsidR="002448EF">
        <w:t>challenges the emphasis within mainstream management learning scholarship on cognition, showing instead how the dispatchers learn by experiencing the railways in bodily, material and emotional ways</w:t>
      </w:r>
      <w:r w:rsidR="005F61C3">
        <w:t>,</w:t>
      </w:r>
      <w:r w:rsidR="002448EF">
        <w:t xml:space="preserve"> such as by touching the tracks, seeing the switches and recalling the experience of feeling a train enter a tunnel.</w:t>
      </w:r>
      <w:r>
        <w:t xml:space="preserve"> The second </w:t>
      </w:r>
      <w:r w:rsidR="008B3DD4">
        <w:t xml:space="preserve">article that </w:t>
      </w:r>
      <w:r w:rsidR="00223564">
        <w:t xml:space="preserve">we use to </w:t>
      </w:r>
      <w:r w:rsidR="008B3DD4">
        <w:t xml:space="preserve">illustrate the diversity and originality of quirky scholarship </w:t>
      </w:r>
      <w:r>
        <w:t>is</w:t>
      </w:r>
      <w:r w:rsidR="008B3DD4">
        <w:t xml:space="preserve"> Allen’s (2017) a</w:t>
      </w:r>
      <w:r w:rsidR="001368A6">
        <w:t>nalysis</w:t>
      </w:r>
      <w:r w:rsidR="008B3DD4">
        <w:t xml:space="preserve"> of</w:t>
      </w:r>
      <w:r w:rsidR="00223564">
        <w:t xml:space="preserve"> </w:t>
      </w:r>
      <w:r w:rsidR="001368A6">
        <w:t>the ‘business method’</w:t>
      </w:r>
      <w:r w:rsidR="005F61C3">
        <w:t>,</w:t>
      </w:r>
      <w:r w:rsidR="001368A6">
        <w:t xml:space="preserve"> developed by the Religious Society of Friends, or Quakers. Using autobiographical vignettes, Allen uses a relational ontology to argue that these practices enable </w:t>
      </w:r>
      <w:r w:rsidR="005F61C3">
        <w:t xml:space="preserve">better </w:t>
      </w:r>
      <w:r w:rsidR="001368A6">
        <w:t xml:space="preserve">appreciation of </w:t>
      </w:r>
      <w:r w:rsidR="005F61C3">
        <w:t>‘</w:t>
      </w:r>
      <w:r w:rsidR="001368A6">
        <w:t>unknowing</w:t>
      </w:r>
      <w:r w:rsidR="005F61C3">
        <w:t>’</w:t>
      </w:r>
      <w:r w:rsidR="001368A6">
        <w:t xml:space="preserve">, and the disturbance and anxiety that arises </w:t>
      </w:r>
      <w:r w:rsidR="005F61C3">
        <w:t xml:space="preserve">from </w:t>
      </w:r>
      <w:r w:rsidR="001368A6">
        <w:t>t</w:t>
      </w:r>
      <w:r w:rsidR="005F61C3">
        <w:t>his</w:t>
      </w:r>
      <w:r w:rsidR="001368A6">
        <w:t xml:space="preserve">, </w:t>
      </w:r>
      <w:r w:rsidR="005F61C3">
        <w:t xml:space="preserve">which constitutes </w:t>
      </w:r>
      <w:r w:rsidR="001368A6">
        <w:t xml:space="preserve">an important aspect of reflexivity. </w:t>
      </w:r>
      <w:r w:rsidR="005F61C3">
        <w:t xml:space="preserve">Both of these articles, in different ways, illustrate the considerable potential of quirky scholarship in </w:t>
      </w:r>
      <w:r w:rsidR="005F61C3" w:rsidRPr="005F61C3">
        <w:rPr>
          <w:i/>
        </w:rPr>
        <w:t>Management Learning</w:t>
      </w:r>
      <w:r w:rsidR="005F61C3">
        <w:t xml:space="preserve"> and its value in crafting new ways of knowing. </w:t>
      </w:r>
      <w:r w:rsidR="001368A6">
        <w:t xml:space="preserve">  </w:t>
      </w:r>
    </w:p>
    <w:p w14:paraId="0B2E44DB" w14:textId="77777777" w:rsidR="002448EF" w:rsidRDefault="002448EF" w:rsidP="006D05D0">
      <w:pPr>
        <w:spacing w:after="0" w:line="240" w:lineRule="auto"/>
      </w:pPr>
    </w:p>
    <w:p w14:paraId="537D2E41" w14:textId="514DAAD9" w:rsidR="00456A0B" w:rsidRDefault="0085251D" w:rsidP="006D05D0">
      <w:pPr>
        <w:spacing w:after="0" w:line="240" w:lineRule="auto"/>
      </w:pPr>
      <w:r>
        <w:t>2018 promises to be an</w:t>
      </w:r>
      <w:r w:rsidR="00576407">
        <w:t>other</w:t>
      </w:r>
      <w:r w:rsidR="00E435E6">
        <w:t xml:space="preserve"> exciting year for the journal and looking a little further ahead, we will celebrate its 50</w:t>
      </w:r>
      <w:r w:rsidR="00E435E6" w:rsidRPr="00C030B1">
        <w:rPr>
          <w:vertAlign w:val="superscript"/>
        </w:rPr>
        <w:t>th</w:t>
      </w:r>
      <w:r w:rsidR="00E435E6">
        <w:t xml:space="preserve"> anniversary in 2020</w:t>
      </w:r>
      <w:r w:rsidR="00576407">
        <w:t xml:space="preserve"> (including the years when it was </w:t>
      </w:r>
      <w:r w:rsidR="00576407" w:rsidRPr="00C030B1">
        <w:rPr>
          <w:i/>
        </w:rPr>
        <w:t>Management Education and Development</w:t>
      </w:r>
      <w:r w:rsidR="00576407">
        <w:t>)</w:t>
      </w:r>
      <w:r w:rsidR="007A46D9">
        <w:t xml:space="preserve">. </w:t>
      </w:r>
      <w:r w:rsidR="007A46D9" w:rsidRPr="00A63831">
        <w:rPr>
          <w:rFonts w:cstheme="minorHAnsi"/>
        </w:rPr>
        <w:t>T</w:t>
      </w:r>
      <w:r w:rsidR="00DA3F72">
        <w:rPr>
          <w:rFonts w:cstheme="minorHAnsi"/>
        </w:rPr>
        <w:t>o mark this</w:t>
      </w:r>
      <w:r w:rsidR="00EC6975" w:rsidRPr="00A63831">
        <w:rPr>
          <w:rFonts w:cstheme="minorHAnsi"/>
        </w:rPr>
        <w:t xml:space="preserve"> occasion</w:t>
      </w:r>
      <w:r w:rsidR="0053490A" w:rsidRPr="00A63831">
        <w:rPr>
          <w:rFonts w:cstheme="minorHAnsi"/>
        </w:rPr>
        <w:t>,</w:t>
      </w:r>
      <w:r w:rsidR="00EC6975" w:rsidRPr="00A63831">
        <w:rPr>
          <w:rFonts w:cstheme="minorHAnsi"/>
        </w:rPr>
        <w:t xml:space="preserve"> we </w:t>
      </w:r>
      <w:r w:rsidR="0053490A" w:rsidRPr="00A63831">
        <w:rPr>
          <w:rFonts w:cstheme="minorHAnsi"/>
        </w:rPr>
        <w:t>have commissioned a S</w:t>
      </w:r>
      <w:r w:rsidR="00EC6975" w:rsidRPr="00A63831">
        <w:rPr>
          <w:rFonts w:cstheme="minorHAnsi"/>
        </w:rPr>
        <w:t xml:space="preserve">pecial </w:t>
      </w:r>
      <w:r w:rsidR="0053490A" w:rsidRPr="00A63831">
        <w:rPr>
          <w:rFonts w:cstheme="minorHAnsi"/>
        </w:rPr>
        <w:t>I</w:t>
      </w:r>
      <w:r w:rsidR="001368A6">
        <w:rPr>
          <w:rFonts w:cstheme="minorHAnsi"/>
        </w:rPr>
        <w:t>ssue w</w:t>
      </w:r>
      <w:r w:rsidR="00EC6975" w:rsidRPr="00A63831">
        <w:rPr>
          <w:rFonts w:cstheme="minorHAnsi"/>
        </w:rPr>
        <w:t>h</w:t>
      </w:r>
      <w:r w:rsidR="001368A6">
        <w:rPr>
          <w:rFonts w:cstheme="minorHAnsi"/>
        </w:rPr>
        <w:t>ich</w:t>
      </w:r>
      <w:r w:rsidR="00EC6975" w:rsidRPr="00A63831">
        <w:rPr>
          <w:rFonts w:cstheme="minorHAnsi"/>
        </w:rPr>
        <w:t xml:space="preserve"> </w:t>
      </w:r>
      <w:r w:rsidR="0053490A" w:rsidRPr="00A63831">
        <w:rPr>
          <w:rFonts w:cstheme="minorHAnsi"/>
        </w:rPr>
        <w:t xml:space="preserve">examines </w:t>
      </w:r>
      <w:r w:rsidR="00EC6975" w:rsidRPr="00A63831">
        <w:rPr>
          <w:rFonts w:cstheme="minorHAnsi"/>
        </w:rPr>
        <w:t xml:space="preserve">the </w:t>
      </w:r>
      <w:r w:rsidR="0053490A" w:rsidRPr="00A63831">
        <w:rPr>
          <w:rFonts w:cstheme="minorHAnsi"/>
        </w:rPr>
        <w:t>history o</w:t>
      </w:r>
      <w:r w:rsidR="00EC6975" w:rsidRPr="00A63831">
        <w:rPr>
          <w:rFonts w:cstheme="minorHAnsi"/>
        </w:rPr>
        <w:t>f ma</w:t>
      </w:r>
      <w:r w:rsidR="00846CF9" w:rsidRPr="00A63831">
        <w:rPr>
          <w:rFonts w:cstheme="minorHAnsi"/>
        </w:rPr>
        <w:t>nagement education</w:t>
      </w:r>
      <w:r w:rsidR="001368A6">
        <w:rPr>
          <w:rFonts w:cstheme="minorHAnsi"/>
        </w:rPr>
        <w:t>, knowledge</w:t>
      </w:r>
      <w:r w:rsidR="00846CF9" w:rsidRPr="00A63831">
        <w:rPr>
          <w:rFonts w:cstheme="minorHAnsi"/>
        </w:rPr>
        <w:t xml:space="preserve"> and learning</w:t>
      </w:r>
      <w:r w:rsidR="00DA3F72">
        <w:rPr>
          <w:rFonts w:cstheme="minorHAnsi"/>
        </w:rPr>
        <w:t xml:space="preserve"> -</w:t>
      </w:r>
      <w:r w:rsidR="0053490A" w:rsidRPr="00A63831">
        <w:rPr>
          <w:rFonts w:cstheme="minorHAnsi"/>
        </w:rPr>
        <w:t xml:space="preserve"> guest edited by </w:t>
      </w:r>
      <w:r w:rsidR="0053490A" w:rsidRPr="00A63831">
        <w:rPr>
          <w:rFonts w:cstheme="minorHAnsi"/>
          <w:bCs/>
        </w:rPr>
        <w:t>Gabrielle Durepos, Rafael Alcadipani, Mairi Maclean and Stephen Cummings</w:t>
      </w:r>
      <w:r w:rsidR="00846CF9" w:rsidRPr="00A63831">
        <w:rPr>
          <w:rFonts w:cstheme="minorHAnsi"/>
        </w:rPr>
        <w:t>.</w:t>
      </w:r>
      <w:r w:rsidR="00846CF9">
        <w:t xml:space="preserve"> </w:t>
      </w:r>
      <w:r w:rsidR="00361CE2">
        <w:t>R</w:t>
      </w:r>
      <w:r w:rsidR="00F079EF">
        <w:t xml:space="preserve">ather than looking back </w:t>
      </w:r>
      <w:r w:rsidR="0053490A">
        <w:t>as an end in itself, the</w:t>
      </w:r>
      <w:r w:rsidR="00F079EF">
        <w:t xml:space="preserve"> </w:t>
      </w:r>
      <w:r w:rsidR="0053490A">
        <w:t>A</w:t>
      </w:r>
      <w:r w:rsidR="00F079EF">
        <w:t>nniversary</w:t>
      </w:r>
      <w:r w:rsidR="0053490A">
        <w:t xml:space="preserve"> Special I</w:t>
      </w:r>
      <w:r w:rsidR="00F079EF">
        <w:t xml:space="preserve">ssue </w:t>
      </w:r>
      <w:r w:rsidR="0053490A">
        <w:t xml:space="preserve">uses </w:t>
      </w:r>
      <w:r w:rsidR="00F079EF">
        <w:t xml:space="preserve">a critical historical lens </w:t>
      </w:r>
      <w:r w:rsidR="001368A6">
        <w:t xml:space="preserve">to </w:t>
      </w:r>
      <w:r w:rsidR="0053490A">
        <w:t>interrogat</w:t>
      </w:r>
      <w:r w:rsidR="001368A6">
        <w:t>e</w:t>
      </w:r>
      <w:r w:rsidR="0053490A">
        <w:t xml:space="preserve"> and imagin</w:t>
      </w:r>
      <w:r w:rsidR="001368A6">
        <w:t>e</w:t>
      </w:r>
      <w:r w:rsidR="00F079EF">
        <w:t xml:space="preserve"> </w:t>
      </w:r>
      <w:r w:rsidR="0053490A">
        <w:t>possible</w:t>
      </w:r>
      <w:r w:rsidR="00F079EF">
        <w:t xml:space="preserve"> future</w:t>
      </w:r>
      <w:r w:rsidR="0053490A">
        <w:t>s</w:t>
      </w:r>
      <w:r w:rsidR="001368A6">
        <w:t xml:space="preserve"> for </w:t>
      </w:r>
      <w:r w:rsidR="001368A6" w:rsidRPr="001368A6">
        <w:rPr>
          <w:i/>
        </w:rPr>
        <w:t>Management Learning</w:t>
      </w:r>
      <w:r w:rsidR="00F079EF">
        <w:t xml:space="preserve"> </w:t>
      </w:r>
      <w:r w:rsidR="0053490A">
        <w:t>by c</w:t>
      </w:r>
      <w:r w:rsidR="00F079EF">
        <w:t>hallenging orthodox thinking and propos</w:t>
      </w:r>
      <w:r w:rsidR="0053490A">
        <w:t>ing alternatives</w:t>
      </w:r>
      <w:r w:rsidR="00B277B6">
        <w:t>.</w:t>
      </w:r>
      <w:r w:rsidR="00576407">
        <w:t xml:space="preserve"> The call for papers is published in this issue.</w:t>
      </w:r>
    </w:p>
    <w:p w14:paraId="269294B6" w14:textId="5E6E75C9" w:rsidR="00456A0B" w:rsidRPr="00DB5237" w:rsidRDefault="00456A0B" w:rsidP="006D05D0">
      <w:pPr>
        <w:spacing w:after="0" w:line="240" w:lineRule="auto"/>
      </w:pPr>
    </w:p>
    <w:p w14:paraId="650CF1FF" w14:textId="0964C1CA" w:rsidR="00784E75" w:rsidRPr="00DB5237" w:rsidRDefault="00784E75" w:rsidP="000B6F36">
      <w:pPr>
        <w:spacing w:after="0" w:line="240" w:lineRule="auto"/>
        <w:rPr>
          <w:rFonts w:ascii="Calibri" w:hAnsi="Calibri"/>
        </w:rPr>
      </w:pPr>
      <w:r w:rsidRPr="00DB5237">
        <w:rPr>
          <w:rFonts w:ascii="Calibri" w:hAnsi="Calibri"/>
        </w:rPr>
        <w:t xml:space="preserve">Finally, we are pleased to announce the Best </w:t>
      </w:r>
      <w:r w:rsidR="0004077F" w:rsidRPr="00DB5237">
        <w:rPr>
          <w:rFonts w:ascii="Calibri" w:hAnsi="Calibri"/>
        </w:rPr>
        <w:t xml:space="preserve">Paper </w:t>
      </w:r>
      <w:r w:rsidR="00DB5237">
        <w:rPr>
          <w:rFonts w:ascii="Calibri" w:hAnsi="Calibri"/>
        </w:rPr>
        <w:t xml:space="preserve">Award </w:t>
      </w:r>
      <w:r w:rsidR="0004077F" w:rsidRPr="00DB5237">
        <w:rPr>
          <w:rFonts w:ascii="Calibri" w:hAnsi="Calibri"/>
        </w:rPr>
        <w:t xml:space="preserve">2017 </w:t>
      </w:r>
      <w:r w:rsidR="00DB5237">
        <w:rPr>
          <w:rFonts w:ascii="Calibri" w:hAnsi="Calibri"/>
        </w:rPr>
        <w:t xml:space="preserve">goes </w:t>
      </w:r>
      <w:r w:rsidR="00DB5237">
        <w:rPr>
          <w:rFonts w:ascii="Calibri" w:hAnsi="Calibri"/>
        </w:rPr>
        <w:t xml:space="preserve">to </w:t>
      </w:r>
      <w:r w:rsidR="00DB5237" w:rsidRPr="00DB5237">
        <w:rPr>
          <w:rFonts w:ascii="Calibri" w:hAnsi="Calibri"/>
        </w:rPr>
        <w:t>Lucia Crevani and Anette Hallin</w:t>
      </w:r>
      <w:r w:rsidR="00DB5237" w:rsidRPr="00DB5237">
        <w:rPr>
          <w:rFonts w:ascii="Calibri" w:hAnsi="Calibri"/>
        </w:rPr>
        <w:t xml:space="preserve"> </w:t>
      </w:r>
      <w:r w:rsidR="0004077F" w:rsidRPr="00DB5237">
        <w:rPr>
          <w:rFonts w:ascii="Calibri" w:hAnsi="Calibri"/>
        </w:rPr>
        <w:t xml:space="preserve">for </w:t>
      </w:r>
      <w:r w:rsidR="00DB5237">
        <w:rPr>
          <w:rFonts w:ascii="Calibri" w:hAnsi="Calibri"/>
        </w:rPr>
        <w:t xml:space="preserve">their article </w:t>
      </w:r>
      <w:r w:rsidR="00DB5237" w:rsidRPr="00DB5237">
        <w:rPr>
          <w:rFonts w:ascii="Calibri" w:hAnsi="Calibri"/>
        </w:rPr>
        <w:t>‘</w:t>
      </w:r>
      <w:r w:rsidR="0004077F" w:rsidRPr="00DB5237">
        <w:rPr>
          <w:rFonts w:ascii="Calibri" w:hAnsi="Calibri" w:cs="Arial"/>
          <w:bCs/>
          <w:lang w:val="en" w:eastAsia="en-GB"/>
        </w:rPr>
        <w:t>Performative narcissism: When organizations are made successful, admirable, and unique through narcissistic work</w:t>
      </w:r>
      <w:r w:rsidR="00DB5237" w:rsidRPr="00DB5237">
        <w:rPr>
          <w:rFonts w:ascii="Calibri" w:hAnsi="Calibri" w:cs="Arial"/>
          <w:bCs/>
          <w:lang w:val="en" w:eastAsia="en-GB"/>
        </w:rPr>
        <w:t>’</w:t>
      </w:r>
      <w:r w:rsidR="0004077F" w:rsidRPr="00DB5237">
        <w:rPr>
          <w:rFonts w:ascii="Calibri" w:hAnsi="Calibri"/>
        </w:rPr>
        <w:t>, 48/4</w:t>
      </w:r>
      <w:r w:rsidR="00DB5237" w:rsidRPr="00DB5237">
        <w:rPr>
          <w:rFonts w:ascii="Calibri" w:hAnsi="Calibri"/>
        </w:rPr>
        <w:t xml:space="preserve">: </w:t>
      </w:r>
      <w:r w:rsidR="0004077F" w:rsidRPr="00DB5237">
        <w:rPr>
          <w:rFonts w:ascii="Calibri" w:hAnsi="Calibri"/>
        </w:rPr>
        <w:t>431-452</w:t>
      </w:r>
      <w:r w:rsidRPr="00DB5237">
        <w:rPr>
          <w:rFonts w:ascii="Calibri" w:hAnsi="Calibri"/>
        </w:rPr>
        <w:t xml:space="preserve">. </w:t>
      </w:r>
      <w:r w:rsidR="008B4F7D">
        <w:rPr>
          <w:rFonts w:ascii="Calibri" w:hAnsi="Calibri"/>
        </w:rPr>
        <w:t xml:space="preserve">The editorial team </w:t>
      </w:r>
      <w:r w:rsidR="00432FEB">
        <w:rPr>
          <w:rFonts w:ascii="Calibri" w:hAnsi="Calibri"/>
        </w:rPr>
        <w:t xml:space="preserve">agreed </w:t>
      </w:r>
      <w:r w:rsidR="005B0E9C">
        <w:rPr>
          <w:rFonts w:ascii="Calibri" w:hAnsi="Calibri"/>
        </w:rPr>
        <w:t xml:space="preserve">Lucia and Anette’s </w:t>
      </w:r>
      <w:r w:rsidR="00432FEB">
        <w:rPr>
          <w:rFonts w:ascii="Calibri" w:hAnsi="Calibri"/>
        </w:rPr>
        <w:t xml:space="preserve">paper </w:t>
      </w:r>
      <w:r w:rsidR="00326829">
        <w:rPr>
          <w:rFonts w:ascii="Calibri" w:hAnsi="Calibri"/>
        </w:rPr>
        <w:t xml:space="preserve">best captured </w:t>
      </w:r>
      <w:r w:rsidR="00DE0244">
        <w:rPr>
          <w:rFonts w:ascii="Calibri" w:hAnsi="Calibri"/>
        </w:rPr>
        <w:t xml:space="preserve">the </w:t>
      </w:r>
      <w:r w:rsidR="00326829" w:rsidRPr="00DE0244">
        <w:rPr>
          <w:rFonts w:ascii="Calibri" w:hAnsi="Calibri"/>
          <w:i/>
        </w:rPr>
        <w:t>Management Learning</w:t>
      </w:r>
      <w:r w:rsidR="00326829">
        <w:rPr>
          <w:rFonts w:ascii="Calibri" w:hAnsi="Calibri"/>
        </w:rPr>
        <w:t xml:space="preserve"> mission of publishing </w:t>
      </w:r>
      <w:r w:rsidR="001F37C8">
        <w:rPr>
          <w:rFonts w:ascii="Calibri" w:hAnsi="Calibri"/>
        </w:rPr>
        <w:t xml:space="preserve">original, thought-provoking, </w:t>
      </w:r>
      <w:r w:rsidR="00326829">
        <w:rPr>
          <w:rFonts w:ascii="Calibri" w:hAnsi="Calibri"/>
        </w:rPr>
        <w:t>critical research which advances scholarship</w:t>
      </w:r>
      <w:r w:rsidR="006851B5">
        <w:rPr>
          <w:rFonts w:ascii="Calibri" w:hAnsi="Calibri"/>
        </w:rPr>
        <w:t xml:space="preserve"> in the field</w:t>
      </w:r>
      <w:r w:rsidR="00326829">
        <w:rPr>
          <w:rFonts w:ascii="Calibri" w:hAnsi="Calibri"/>
        </w:rPr>
        <w:t xml:space="preserve">. </w:t>
      </w:r>
      <w:r w:rsidRPr="00DB5237">
        <w:rPr>
          <w:rFonts w:ascii="Calibri" w:hAnsi="Calibri"/>
        </w:rPr>
        <w:t xml:space="preserve">The </w:t>
      </w:r>
      <w:r w:rsidR="00C87B5D">
        <w:rPr>
          <w:rFonts w:ascii="Calibri" w:hAnsi="Calibri"/>
        </w:rPr>
        <w:t xml:space="preserve">Best </w:t>
      </w:r>
      <w:r w:rsidRPr="00DB5237">
        <w:rPr>
          <w:rFonts w:ascii="Calibri" w:hAnsi="Calibri"/>
        </w:rPr>
        <w:t xml:space="preserve">Book Review Award 2017 goes to </w:t>
      </w:r>
      <w:r w:rsidR="0004077F" w:rsidRPr="00DB5237">
        <w:rPr>
          <w:rFonts w:ascii="Calibri" w:hAnsi="Calibri"/>
        </w:rPr>
        <w:t xml:space="preserve">Roy </w:t>
      </w:r>
      <w:r w:rsidR="00C87B5D" w:rsidRPr="00DB5237">
        <w:rPr>
          <w:rFonts w:ascii="Calibri" w:hAnsi="Calibri"/>
        </w:rPr>
        <w:t>Jacques</w:t>
      </w:r>
      <w:r w:rsidR="0004077F" w:rsidRPr="00DB5237">
        <w:rPr>
          <w:rFonts w:ascii="Calibri" w:hAnsi="Calibri"/>
        </w:rPr>
        <w:t xml:space="preserve"> for his </w:t>
      </w:r>
      <w:r w:rsidR="00326829">
        <w:rPr>
          <w:rFonts w:ascii="Calibri" w:hAnsi="Calibri"/>
        </w:rPr>
        <w:t xml:space="preserve">excellent </w:t>
      </w:r>
      <w:r w:rsidR="0004077F" w:rsidRPr="00DB5237">
        <w:rPr>
          <w:rFonts w:ascii="Calibri" w:hAnsi="Calibri"/>
        </w:rPr>
        <w:t xml:space="preserve">review of </w:t>
      </w:r>
      <w:r w:rsidR="00DB5237" w:rsidRPr="00DB5237">
        <w:rPr>
          <w:rFonts w:ascii="Calibri" w:hAnsi="Calibri"/>
        </w:rPr>
        <w:t>‘</w:t>
      </w:r>
      <w:r w:rsidR="0004077F" w:rsidRPr="00DB5237">
        <w:rPr>
          <w:rFonts w:ascii="Calibri" w:hAnsi="Calibri" w:cs="Arial"/>
          <w:bCs/>
          <w:lang w:val="en" w:eastAsia="en-GB"/>
        </w:rPr>
        <w:t>Handbook of Research on Knowledge Management: Adaptation and Context</w:t>
      </w:r>
      <w:r w:rsidR="00DB5237" w:rsidRPr="00DB5237">
        <w:rPr>
          <w:rFonts w:ascii="Calibri" w:hAnsi="Calibri" w:cs="Arial"/>
          <w:bCs/>
          <w:lang w:val="en" w:eastAsia="en-GB"/>
        </w:rPr>
        <w:t>’</w:t>
      </w:r>
      <w:r w:rsidR="00C87B5D">
        <w:rPr>
          <w:rFonts w:ascii="Calibri" w:hAnsi="Calibri"/>
        </w:rPr>
        <w:t xml:space="preserve">, </w:t>
      </w:r>
      <w:r w:rsidR="0004077F" w:rsidRPr="00DB5237">
        <w:rPr>
          <w:rFonts w:ascii="Calibri" w:hAnsi="Calibri"/>
        </w:rPr>
        <w:t>48/1</w:t>
      </w:r>
      <w:r w:rsidR="00DB5237" w:rsidRPr="00DB5237">
        <w:rPr>
          <w:rFonts w:ascii="Calibri" w:hAnsi="Calibri"/>
        </w:rPr>
        <w:t xml:space="preserve">: </w:t>
      </w:r>
      <w:r w:rsidR="0004077F" w:rsidRPr="00DB5237">
        <w:rPr>
          <w:rFonts w:ascii="Calibri" w:hAnsi="Calibri"/>
        </w:rPr>
        <w:t>118-121.</w:t>
      </w:r>
    </w:p>
    <w:p w14:paraId="6058FE98" w14:textId="77777777" w:rsidR="00E4019F" w:rsidRDefault="00E4019F" w:rsidP="000B6F36">
      <w:pPr>
        <w:spacing w:after="0" w:line="240" w:lineRule="auto"/>
        <w:rPr>
          <w:rFonts w:cs="Times New Roman"/>
        </w:rPr>
      </w:pPr>
    </w:p>
    <w:p w14:paraId="274259E3" w14:textId="69B0B6C1" w:rsidR="00D27E67" w:rsidRPr="009910FE" w:rsidRDefault="00E85642" w:rsidP="009910FE">
      <w:pPr>
        <w:spacing w:after="0" w:line="240" w:lineRule="auto"/>
        <w:rPr>
          <w:rFonts w:cs="Times New Roman"/>
          <w:b/>
        </w:rPr>
      </w:pPr>
      <w:r w:rsidRPr="009910FE">
        <w:rPr>
          <w:rFonts w:cs="Times New Roman"/>
          <w:b/>
        </w:rPr>
        <w:t>References</w:t>
      </w:r>
    </w:p>
    <w:p w14:paraId="4C6D7A0B" w14:textId="7E3B1C4D" w:rsidR="008D1B03" w:rsidRPr="009910FE" w:rsidRDefault="008D1B03" w:rsidP="009910FE">
      <w:pPr>
        <w:spacing w:after="0" w:line="240" w:lineRule="auto"/>
      </w:pPr>
    </w:p>
    <w:p w14:paraId="0BF35DC3" w14:textId="4E640124" w:rsidR="009B41B0" w:rsidRDefault="009B41B0" w:rsidP="009B41B0">
      <w:pPr>
        <w:spacing w:after="0" w:line="240" w:lineRule="auto"/>
      </w:pPr>
      <w:r w:rsidRPr="009B41B0">
        <w:t>Allen S (2017) Learning from friends: Developing appreciations for unknowing in reflexiv</w:t>
      </w:r>
      <w:r>
        <w:t xml:space="preserve">e practice. </w:t>
      </w:r>
      <w:r w:rsidRPr="009B41B0">
        <w:rPr>
          <w:i/>
        </w:rPr>
        <w:t>Management Learning</w:t>
      </w:r>
      <w:r w:rsidRPr="009B41B0">
        <w:t xml:space="preserve"> 48(2): 125-139.</w:t>
      </w:r>
    </w:p>
    <w:p w14:paraId="3844A751" w14:textId="1CE9F815" w:rsidR="0053490A" w:rsidRPr="000D0BAA" w:rsidRDefault="0053490A" w:rsidP="009B41B0">
      <w:pPr>
        <w:autoSpaceDE w:val="0"/>
        <w:autoSpaceDN w:val="0"/>
        <w:adjustRightInd w:val="0"/>
        <w:spacing w:after="0" w:line="240" w:lineRule="auto"/>
        <w:rPr>
          <w:rFonts w:eastAsia="Calibri" w:cs="Times New Roman"/>
        </w:rPr>
      </w:pPr>
      <w:r w:rsidRPr="000D0BAA">
        <w:rPr>
          <w:rFonts w:eastAsia="Calibri" w:cs="Times New Roman"/>
        </w:rPr>
        <w:t xml:space="preserve">Alvesson M and Gabriel Y (2013) Beyond formulaic research: In praise of greater diversity in organizational research and publications. </w:t>
      </w:r>
      <w:r w:rsidRPr="000D0BAA">
        <w:rPr>
          <w:rFonts w:eastAsia="Calibri" w:cs="Times New Roman"/>
          <w:i/>
          <w:iCs/>
        </w:rPr>
        <w:t>Academy of Management Learning &amp; Education</w:t>
      </w:r>
      <w:r w:rsidRPr="000D0BAA">
        <w:rPr>
          <w:rFonts w:eastAsia="Calibri" w:cs="Times New Roman"/>
        </w:rPr>
        <w:t> </w:t>
      </w:r>
      <w:r w:rsidRPr="000D0BAA">
        <w:rPr>
          <w:rFonts w:eastAsia="Calibri" w:cs="Times New Roman"/>
          <w:iCs/>
        </w:rPr>
        <w:t>12</w:t>
      </w:r>
      <w:r w:rsidRPr="000D0BAA">
        <w:rPr>
          <w:rFonts w:eastAsia="Calibri" w:cs="Times New Roman"/>
        </w:rPr>
        <w:t>(2): 245-263.</w:t>
      </w:r>
    </w:p>
    <w:p w14:paraId="3CD3A112" w14:textId="73142964" w:rsidR="0053490A" w:rsidRDefault="0053490A" w:rsidP="009910FE">
      <w:pPr>
        <w:spacing w:after="0" w:line="240" w:lineRule="auto"/>
      </w:pPr>
      <w:r>
        <w:t xml:space="preserve">Bedeian AG (2004) Peer review and the social construction of knowledge in the management discipline. </w:t>
      </w:r>
      <w:r w:rsidRPr="0053490A">
        <w:rPr>
          <w:i/>
        </w:rPr>
        <w:t>Academy of Management Learning &amp; Education</w:t>
      </w:r>
      <w:r>
        <w:t xml:space="preserve"> 3(2): 198-216.</w:t>
      </w:r>
    </w:p>
    <w:p w14:paraId="15DDF2FA" w14:textId="09A5256F" w:rsidR="00E152CF" w:rsidRDefault="00FA1BC3" w:rsidP="009910FE">
      <w:pPr>
        <w:spacing w:after="0" w:line="240" w:lineRule="auto"/>
      </w:pPr>
      <w:r>
        <w:t>Bell</w:t>
      </w:r>
      <w:r w:rsidR="00E152CF">
        <w:t xml:space="preserve"> E and Bridgman T (2017) Why management learning matters. </w:t>
      </w:r>
      <w:r w:rsidR="00E152CF" w:rsidRPr="00C030B1">
        <w:rPr>
          <w:i/>
        </w:rPr>
        <w:t>Management Learning</w:t>
      </w:r>
      <w:r w:rsidR="00E152CF">
        <w:t xml:space="preserve"> 48(1): 3-6.</w:t>
      </w:r>
    </w:p>
    <w:p w14:paraId="1DD716CB" w14:textId="0429F777" w:rsidR="0053490A" w:rsidRPr="000D0BAA" w:rsidRDefault="0053490A" w:rsidP="009910FE">
      <w:pPr>
        <w:spacing w:after="0" w:line="240" w:lineRule="auto"/>
      </w:pPr>
      <w:r w:rsidRPr="000D0BAA">
        <w:t xml:space="preserve">Cederström C and Spicer A (2017) Going public. </w:t>
      </w:r>
      <w:r w:rsidRPr="0053490A">
        <w:rPr>
          <w:i/>
        </w:rPr>
        <w:t>Organization</w:t>
      </w:r>
      <w:r w:rsidRPr="000D0BAA">
        <w:t xml:space="preserve"> 24(5)</w:t>
      </w:r>
      <w:r>
        <w:t xml:space="preserve">: 708-711. </w:t>
      </w:r>
      <w:r w:rsidRPr="000D0BAA">
        <w:t xml:space="preserve"> </w:t>
      </w:r>
    </w:p>
    <w:p w14:paraId="5F9228C2" w14:textId="456C580A" w:rsidR="0053490A" w:rsidRPr="000D0BAA" w:rsidRDefault="0053490A" w:rsidP="000B6F36">
      <w:pPr>
        <w:spacing w:after="0" w:line="240" w:lineRule="auto"/>
        <w:rPr>
          <w:rStyle w:val="maintextleft"/>
        </w:rPr>
      </w:pPr>
      <w:r w:rsidRPr="000D0BAA">
        <w:rPr>
          <w:rStyle w:val="maintextleft"/>
        </w:rPr>
        <w:t xml:space="preserve">Garfinkel H (1967) </w:t>
      </w:r>
      <w:r w:rsidRPr="000D0BAA">
        <w:rPr>
          <w:rStyle w:val="maintextleft"/>
          <w:i/>
        </w:rPr>
        <w:t>Studies in Ethnomethodology.</w:t>
      </w:r>
      <w:r w:rsidRPr="000D0BAA">
        <w:rPr>
          <w:rStyle w:val="maintextleft"/>
        </w:rPr>
        <w:t xml:space="preserve"> Englewood Cliffs NJ: Prentice Hall.</w:t>
      </w:r>
    </w:p>
    <w:p w14:paraId="05329177" w14:textId="77777777" w:rsidR="0053490A" w:rsidRDefault="0053490A" w:rsidP="00E7525E">
      <w:pPr>
        <w:spacing w:after="0" w:line="240" w:lineRule="auto"/>
        <w:ind w:left="720" w:hanging="720"/>
        <w:rPr>
          <w:rFonts w:cs="Times New Roman"/>
        </w:rPr>
      </w:pPr>
      <w:r>
        <w:rPr>
          <w:rFonts w:cs="Times New Roman"/>
        </w:rPr>
        <w:t xml:space="preserve">Grey C and Sinclair A (2006) Writing differently. </w:t>
      </w:r>
      <w:r w:rsidRPr="00E03E11">
        <w:rPr>
          <w:rFonts w:cs="Times New Roman"/>
          <w:i/>
        </w:rPr>
        <w:t>Organization</w:t>
      </w:r>
      <w:r>
        <w:rPr>
          <w:rFonts w:cs="Times New Roman"/>
        </w:rPr>
        <w:t xml:space="preserve"> 13(3): 443-453.</w:t>
      </w:r>
    </w:p>
    <w:p w14:paraId="000346CB" w14:textId="0B05B4A9" w:rsidR="0053490A" w:rsidRPr="000D0BAA" w:rsidRDefault="0053490A" w:rsidP="000B6F36">
      <w:pPr>
        <w:spacing w:after="0" w:line="240" w:lineRule="auto"/>
        <w:rPr>
          <w:rStyle w:val="maintextleft"/>
        </w:rPr>
      </w:pPr>
      <w:r w:rsidRPr="000D0BAA">
        <w:rPr>
          <w:rStyle w:val="maintextleft"/>
        </w:rPr>
        <w:t xml:space="preserve">Grey C </w:t>
      </w:r>
      <w:r w:rsidRPr="000D0BAA">
        <w:rPr>
          <w:rFonts w:cs="Arial"/>
        </w:rPr>
        <w:t xml:space="preserve">(2009) </w:t>
      </w:r>
      <w:r w:rsidRPr="000D0BAA">
        <w:rPr>
          <w:rFonts w:cs="Arial"/>
          <w:i/>
        </w:rPr>
        <w:t xml:space="preserve">A Very Short, Fairly Interesting and Reasonably Cheap Book About Studying Organizations. </w:t>
      </w:r>
      <w:r w:rsidRPr="000D0BAA">
        <w:rPr>
          <w:rFonts w:cs="Arial"/>
        </w:rPr>
        <w:t>2</w:t>
      </w:r>
      <w:r w:rsidRPr="000D0BAA">
        <w:rPr>
          <w:rFonts w:cs="Arial"/>
          <w:vertAlign w:val="superscript"/>
        </w:rPr>
        <w:t>nd</w:t>
      </w:r>
      <w:r w:rsidRPr="000D0BAA">
        <w:rPr>
          <w:rFonts w:cs="Arial"/>
        </w:rPr>
        <w:t xml:space="preserve"> edition. London: Sage.</w:t>
      </w:r>
    </w:p>
    <w:p w14:paraId="18BF94F1" w14:textId="6F6FBD62" w:rsidR="0053490A" w:rsidRPr="000D0BAA" w:rsidRDefault="0053490A" w:rsidP="000B6F36">
      <w:pPr>
        <w:spacing w:after="0" w:line="240" w:lineRule="auto"/>
        <w:rPr>
          <w:rStyle w:val="maintextleft"/>
        </w:rPr>
      </w:pPr>
      <w:r w:rsidRPr="000D0BAA">
        <w:rPr>
          <w:rStyle w:val="maintextleft"/>
        </w:rPr>
        <w:t xml:space="preserve">Huff A (1999) </w:t>
      </w:r>
      <w:r w:rsidRPr="000D0BAA">
        <w:rPr>
          <w:rStyle w:val="maintextleft"/>
          <w:i/>
        </w:rPr>
        <w:t>Writing for Scholarly Publication.</w:t>
      </w:r>
      <w:r w:rsidRPr="000D0BAA">
        <w:rPr>
          <w:rStyle w:val="maintextleft"/>
        </w:rPr>
        <w:t xml:space="preserve"> London: Sage.</w:t>
      </w:r>
    </w:p>
    <w:p w14:paraId="08C1A810" w14:textId="20D05AF1" w:rsidR="0053490A" w:rsidRDefault="0053490A" w:rsidP="000B6F36">
      <w:pPr>
        <w:spacing w:after="0" w:line="240" w:lineRule="auto"/>
        <w:rPr>
          <w:rStyle w:val="maintextleft"/>
        </w:rPr>
      </w:pPr>
      <w:r w:rsidRPr="000D0BAA">
        <w:rPr>
          <w:rStyle w:val="maintextleft"/>
        </w:rPr>
        <w:t xml:space="preserve">Kuhn T (1970) </w:t>
      </w:r>
      <w:r w:rsidRPr="000D0BAA">
        <w:rPr>
          <w:rStyle w:val="maintextleft"/>
          <w:i/>
        </w:rPr>
        <w:t>The Structure of Scientific Revolutions</w:t>
      </w:r>
      <w:r>
        <w:rPr>
          <w:rStyle w:val="maintextleft"/>
          <w:i/>
        </w:rPr>
        <w:t>.</w:t>
      </w:r>
      <w:r>
        <w:rPr>
          <w:rStyle w:val="maintextleft"/>
        </w:rPr>
        <w:t xml:space="preserve"> 2</w:t>
      </w:r>
      <w:r w:rsidRPr="000D0BAA">
        <w:rPr>
          <w:rStyle w:val="maintextleft"/>
          <w:vertAlign w:val="superscript"/>
        </w:rPr>
        <w:t>nd</w:t>
      </w:r>
      <w:r>
        <w:rPr>
          <w:rStyle w:val="maintextleft"/>
        </w:rPr>
        <w:t xml:space="preserve"> edition. Chicago: University of Chicago Press.</w:t>
      </w:r>
    </w:p>
    <w:p w14:paraId="08592C32" w14:textId="77777777" w:rsidR="0053490A" w:rsidRPr="000D0BAA" w:rsidRDefault="0053490A" w:rsidP="009910FE">
      <w:pPr>
        <w:spacing w:after="0" w:line="240" w:lineRule="auto"/>
        <w:rPr>
          <w:rStyle w:val="maintextleft"/>
        </w:rPr>
      </w:pPr>
      <w:r w:rsidRPr="000D0BAA">
        <w:rPr>
          <w:rFonts w:cs="Times New Roman"/>
        </w:rPr>
        <w:t xml:space="preserve">Mills C Wright (1959) </w:t>
      </w:r>
      <w:r w:rsidRPr="000D0BAA">
        <w:rPr>
          <w:rFonts w:cs="Times New Roman"/>
          <w:i/>
          <w:iCs/>
        </w:rPr>
        <w:t>The Sociological Imagination,</w:t>
      </w:r>
      <w:r w:rsidRPr="000D0BAA">
        <w:rPr>
          <w:rFonts w:cs="Times New Roman"/>
          <w:iCs/>
        </w:rPr>
        <w:t xml:space="preserve"> 40th anniversary edition</w:t>
      </w:r>
      <w:r w:rsidRPr="000D0BAA">
        <w:rPr>
          <w:rFonts w:cs="Times New Roman"/>
        </w:rPr>
        <w:t>. Oxford: Oxford University Press.</w:t>
      </w:r>
    </w:p>
    <w:p w14:paraId="600122BC" w14:textId="47A9C247" w:rsidR="0053490A" w:rsidRDefault="0053490A" w:rsidP="000B6F36">
      <w:pPr>
        <w:spacing w:after="0" w:line="240" w:lineRule="auto"/>
      </w:pPr>
      <w:r>
        <w:t xml:space="preserve">Rafalovich A (2006) Making sociology relevant: The assignment and application of breaching experiments. </w:t>
      </w:r>
      <w:r>
        <w:rPr>
          <w:i/>
        </w:rPr>
        <w:t>Teaching Sociology</w:t>
      </w:r>
      <w:r>
        <w:t xml:space="preserve"> 34: 156-163.</w:t>
      </w:r>
    </w:p>
    <w:p w14:paraId="269E8112" w14:textId="1228BC07" w:rsidR="0053490A" w:rsidRPr="00ED136E" w:rsidRDefault="0053490A" w:rsidP="000B6F36">
      <w:pPr>
        <w:spacing w:after="0" w:line="240" w:lineRule="auto"/>
        <w:rPr>
          <w:rStyle w:val="maintextleft"/>
        </w:rPr>
      </w:pPr>
      <w:r w:rsidRPr="00CB70A7">
        <w:t xml:space="preserve">Rumens N and Tyler M (2016) Queer theory. In: Mir R, Willmott </w:t>
      </w:r>
      <w:r w:rsidR="00CB70A7" w:rsidRPr="00C030B1">
        <w:t>H</w:t>
      </w:r>
      <w:r w:rsidRPr="00CB70A7">
        <w:t xml:space="preserve"> and Greenwood M (</w:t>
      </w:r>
      <w:r w:rsidR="00FA1BC3" w:rsidRPr="00CB70A7">
        <w:t>e</w:t>
      </w:r>
      <w:r w:rsidRPr="00CB70A7">
        <w:t xml:space="preserve">ds) </w:t>
      </w:r>
      <w:r w:rsidRPr="00CB70A7">
        <w:rPr>
          <w:i/>
        </w:rPr>
        <w:t>The Routledge Companion to Philosophy in Organization Studies</w:t>
      </w:r>
      <w:r w:rsidRPr="00CB70A7">
        <w:t>. London: Routledge, 225-236.</w:t>
      </w:r>
      <w:r>
        <w:t xml:space="preserve"> </w:t>
      </w:r>
    </w:p>
    <w:p w14:paraId="29CA4796" w14:textId="18080E23" w:rsidR="0053490A" w:rsidRPr="000D0BAA" w:rsidRDefault="0053490A" w:rsidP="000B6F36">
      <w:pPr>
        <w:spacing w:after="0" w:line="240" w:lineRule="auto"/>
        <w:rPr>
          <w:rStyle w:val="maintextleft"/>
        </w:rPr>
      </w:pPr>
      <w:r w:rsidRPr="00047B77">
        <w:rPr>
          <w:rStyle w:val="maintextleft"/>
        </w:rPr>
        <w:t xml:space="preserve">Willems T </w:t>
      </w:r>
      <w:r w:rsidR="00127039">
        <w:t>(this issue</w:t>
      </w:r>
      <w:bookmarkStart w:id="1" w:name="_GoBack"/>
      <w:bookmarkEnd w:id="1"/>
      <w:r w:rsidRPr="00047B77">
        <w:t xml:space="preserve">) </w:t>
      </w:r>
      <w:r w:rsidRPr="00047B77">
        <w:rPr>
          <w:rStyle w:val="maintextleft"/>
        </w:rPr>
        <w:t xml:space="preserve">Sensing and sensing the railways: A phenomenological view on practice-based learning. </w:t>
      </w:r>
      <w:r w:rsidRPr="00047B77">
        <w:rPr>
          <w:rStyle w:val="maintextleft"/>
          <w:i/>
        </w:rPr>
        <w:t>Management Learning</w:t>
      </w:r>
      <w:r w:rsidRPr="00047B77">
        <w:rPr>
          <w:rStyle w:val="maintextleft"/>
        </w:rPr>
        <w:t xml:space="preserve"> DOI: 10.1177/1350507617725188</w:t>
      </w:r>
    </w:p>
    <w:p w14:paraId="522F6779" w14:textId="77777777" w:rsidR="00E42144" w:rsidRPr="00F94A05" w:rsidRDefault="00E42144" w:rsidP="000B6F36">
      <w:pPr>
        <w:spacing w:after="0" w:line="240" w:lineRule="auto"/>
      </w:pPr>
    </w:p>
    <w:sectPr w:rsidR="00E42144" w:rsidRPr="00F94A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5195" w14:textId="77777777" w:rsidR="009C025F" w:rsidRDefault="009C025F" w:rsidP="00E85642">
      <w:pPr>
        <w:spacing w:after="0" w:line="240" w:lineRule="auto"/>
      </w:pPr>
      <w:r>
        <w:separator/>
      </w:r>
    </w:p>
  </w:endnote>
  <w:endnote w:type="continuationSeparator" w:id="0">
    <w:p w14:paraId="41D0A730" w14:textId="77777777" w:rsidR="009C025F" w:rsidRDefault="009C025F" w:rsidP="00E85642">
      <w:pPr>
        <w:spacing w:after="0" w:line="240" w:lineRule="auto"/>
      </w:pPr>
      <w:r>
        <w:continuationSeparator/>
      </w:r>
    </w:p>
  </w:endnote>
  <w:endnote w:id="1">
    <w:p w14:paraId="0B29E1C4" w14:textId="1142CBA6" w:rsidR="00A63831" w:rsidRDefault="00A63831">
      <w:pPr>
        <w:pStyle w:val="EndnoteText"/>
      </w:pPr>
      <w:r>
        <w:rPr>
          <w:rStyle w:val="EndnoteReference"/>
        </w:rPr>
        <w:endnoteRef/>
      </w:r>
      <w:r>
        <w:t xml:space="preserve"> John Burnet (1892) </w:t>
      </w:r>
      <w:r>
        <w:rPr>
          <w:i/>
          <w:iCs/>
        </w:rPr>
        <w:t>Early Greek Philosophy.</w:t>
      </w:r>
      <w:r>
        <w:t xml:space="preserve"> London: Adam and Charles Black. </w:t>
      </w:r>
    </w:p>
  </w:endnote>
  <w:endnote w:id="2">
    <w:p w14:paraId="738FE953" w14:textId="4027106D" w:rsidR="00C030B1" w:rsidRDefault="00C030B1">
      <w:pPr>
        <w:pStyle w:val="EndnoteText"/>
      </w:pPr>
      <w:r>
        <w:rPr>
          <w:rStyle w:val="EndnoteReference"/>
        </w:rPr>
        <w:endnoteRef/>
      </w:r>
      <w:r>
        <w:t xml:space="preserve"> Reflections on publishing with Leah Tomkins and Eda Ulus </w:t>
      </w:r>
      <w:r w:rsidRPr="00C030B1">
        <w:t>http://journals.sagepub.com/page/mlq/videos/index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27638"/>
      <w:docPartObj>
        <w:docPartGallery w:val="Page Numbers (Bottom of Page)"/>
        <w:docPartUnique/>
      </w:docPartObj>
    </w:sdtPr>
    <w:sdtEndPr>
      <w:rPr>
        <w:noProof/>
      </w:rPr>
    </w:sdtEndPr>
    <w:sdtContent>
      <w:p w14:paraId="32AED544" w14:textId="7F3C3D52" w:rsidR="00A63831" w:rsidRDefault="00A63831">
        <w:pPr>
          <w:pStyle w:val="Footer"/>
          <w:jc w:val="center"/>
        </w:pPr>
        <w:r>
          <w:fldChar w:fldCharType="begin"/>
        </w:r>
        <w:r>
          <w:instrText xml:space="preserve"> PAGE   \* MERGEFORMAT </w:instrText>
        </w:r>
        <w:r>
          <w:fldChar w:fldCharType="separate"/>
        </w:r>
        <w:r w:rsidR="00127039">
          <w:rPr>
            <w:noProof/>
          </w:rPr>
          <w:t>4</w:t>
        </w:r>
        <w:r>
          <w:rPr>
            <w:noProof/>
          </w:rPr>
          <w:fldChar w:fldCharType="end"/>
        </w:r>
      </w:p>
    </w:sdtContent>
  </w:sdt>
  <w:p w14:paraId="28F28628" w14:textId="77777777" w:rsidR="00A63831" w:rsidRDefault="00A6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F319" w14:textId="77777777" w:rsidR="009C025F" w:rsidRDefault="009C025F" w:rsidP="00E85642">
      <w:pPr>
        <w:spacing w:after="0" w:line="240" w:lineRule="auto"/>
      </w:pPr>
      <w:r>
        <w:separator/>
      </w:r>
    </w:p>
  </w:footnote>
  <w:footnote w:type="continuationSeparator" w:id="0">
    <w:p w14:paraId="06CF2313" w14:textId="77777777" w:rsidR="009C025F" w:rsidRDefault="009C025F" w:rsidP="00E85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B98"/>
    <w:multiLevelType w:val="multilevel"/>
    <w:tmpl w:val="97F4F3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9A"/>
    <w:rsid w:val="00001847"/>
    <w:rsid w:val="00012FCA"/>
    <w:rsid w:val="00014CCF"/>
    <w:rsid w:val="00015217"/>
    <w:rsid w:val="00031530"/>
    <w:rsid w:val="0004077F"/>
    <w:rsid w:val="000407E4"/>
    <w:rsid w:val="00047B77"/>
    <w:rsid w:val="00052AE8"/>
    <w:rsid w:val="00060239"/>
    <w:rsid w:val="00065E76"/>
    <w:rsid w:val="000759F1"/>
    <w:rsid w:val="00075DD4"/>
    <w:rsid w:val="00076042"/>
    <w:rsid w:val="000762C9"/>
    <w:rsid w:val="00091495"/>
    <w:rsid w:val="000949A5"/>
    <w:rsid w:val="000977A6"/>
    <w:rsid w:val="000A4559"/>
    <w:rsid w:val="000A4FD7"/>
    <w:rsid w:val="000A7999"/>
    <w:rsid w:val="000B6F36"/>
    <w:rsid w:val="000D0BAA"/>
    <w:rsid w:val="000D47B4"/>
    <w:rsid w:val="000E4437"/>
    <w:rsid w:val="000E6E80"/>
    <w:rsid w:val="000E7047"/>
    <w:rsid w:val="000F569F"/>
    <w:rsid w:val="000F7A7B"/>
    <w:rsid w:val="00121914"/>
    <w:rsid w:val="00127039"/>
    <w:rsid w:val="0013560A"/>
    <w:rsid w:val="001368A6"/>
    <w:rsid w:val="00141765"/>
    <w:rsid w:val="00166255"/>
    <w:rsid w:val="00180E55"/>
    <w:rsid w:val="00183A2B"/>
    <w:rsid w:val="00192544"/>
    <w:rsid w:val="00196F8E"/>
    <w:rsid w:val="001A3EF4"/>
    <w:rsid w:val="001A6D52"/>
    <w:rsid w:val="001D736B"/>
    <w:rsid w:val="001F37C8"/>
    <w:rsid w:val="0020060B"/>
    <w:rsid w:val="00201ACD"/>
    <w:rsid w:val="00211124"/>
    <w:rsid w:val="00223564"/>
    <w:rsid w:val="00225BA4"/>
    <w:rsid w:val="0022605C"/>
    <w:rsid w:val="00227AAF"/>
    <w:rsid w:val="00230153"/>
    <w:rsid w:val="00237874"/>
    <w:rsid w:val="00243EF8"/>
    <w:rsid w:val="002448EF"/>
    <w:rsid w:val="00251756"/>
    <w:rsid w:val="00254355"/>
    <w:rsid w:val="002652D6"/>
    <w:rsid w:val="00270EDD"/>
    <w:rsid w:val="002944F3"/>
    <w:rsid w:val="002A4F76"/>
    <w:rsid w:val="002A5B72"/>
    <w:rsid w:val="002A5C9D"/>
    <w:rsid w:val="002B1860"/>
    <w:rsid w:val="002C6DDB"/>
    <w:rsid w:val="002D5832"/>
    <w:rsid w:val="002D7520"/>
    <w:rsid w:val="002F0FA9"/>
    <w:rsid w:val="002F6594"/>
    <w:rsid w:val="002F72E5"/>
    <w:rsid w:val="002F7A5C"/>
    <w:rsid w:val="00304226"/>
    <w:rsid w:val="00315C8A"/>
    <w:rsid w:val="003165D5"/>
    <w:rsid w:val="00326829"/>
    <w:rsid w:val="00360D96"/>
    <w:rsid w:val="00361CE2"/>
    <w:rsid w:val="0036586A"/>
    <w:rsid w:val="00377C70"/>
    <w:rsid w:val="003803BC"/>
    <w:rsid w:val="00394828"/>
    <w:rsid w:val="003A0F6E"/>
    <w:rsid w:val="003A2638"/>
    <w:rsid w:val="003A62B0"/>
    <w:rsid w:val="003A724D"/>
    <w:rsid w:val="003B3F8F"/>
    <w:rsid w:val="003C12B6"/>
    <w:rsid w:val="003C6AE8"/>
    <w:rsid w:val="003D73FB"/>
    <w:rsid w:val="003F688F"/>
    <w:rsid w:val="00400915"/>
    <w:rsid w:val="00401360"/>
    <w:rsid w:val="00402923"/>
    <w:rsid w:val="004029AE"/>
    <w:rsid w:val="004033EA"/>
    <w:rsid w:val="00414C23"/>
    <w:rsid w:val="00417E56"/>
    <w:rsid w:val="00420D8F"/>
    <w:rsid w:val="00432FEB"/>
    <w:rsid w:val="00433AFC"/>
    <w:rsid w:val="00441987"/>
    <w:rsid w:val="00442D6D"/>
    <w:rsid w:val="0045532B"/>
    <w:rsid w:val="00456A0B"/>
    <w:rsid w:val="00461018"/>
    <w:rsid w:val="0046779C"/>
    <w:rsid w:val="00474B42"/>
    <w:rsid w:val="00477CD7"/>
    <w:rsid w:val="00480C37"/>
    <w:rsid w:val="004A3C2D"/>
    <w:rsid w:val="004A789F"/>
    <w:rsid w:val="004B08B4"/>
    <w:rsid w:val="004B4504"/>
    <w:rsid w:val="004B7B51"/>
    <w:rsid w:val="004E0936"/>
    <w:rsid w:val="004E411A"/>
    <w:rsid w:val="004E51F9"/>
    <w:rsid w:val="004F5BED"/>
    <w:rsid w:val="005001D1"/>
    <w:rsid w:val="0050743C"/>
    <w:rsid w:val="005108EF"/>
    <w:rsid w:val="00522036"/>
    <w:rsid w:val="0052215A"/>
    <w:rsid w:val="0053148B"/>
    <w:rsid w:val="0053490A"/>
    <w:rsid w:val="00540035"/>
    <w:rsid w:val="0054014B"/>
    <w:rsid w:val="0054305C"/>
    <w:rsid w:val="00547160"/>
    <w:rsid w:val="00576407"/>
    <w:rsid w:val="00577AD6"/>
    <w:rsid w:val="005A6132"/>
    <w:rsid w:val="005B0E9C"/>
    <w:rsid w:val="005C068A"/>
    <w:rsid w:val="005C08CA"/>
    <w:rsid w:val="005D29AC"/>
    <w:rsid w:val="005E409E"/>
    <w:rsid w:val="005F39BC"/>
    <w:rsid w:val="005F4DE5"/>
    <w:rsid w:val="005F61C3"/>
    <w:rsid w:val="005F6454"/>
    <w:rsid w:val="00605330"/>
    <w:rsid w:val="0061310E"/>
    <w:rsid w:val="0061782B"/>
    <w:rsid w:val="00624B56"/>
    <w:rsid w:val="00636D79"/>
    <w:rsid w:val="006458F6"/>
    <w:rsid w:val="00664C6C"/>
    <w:rsid w:val="00664DB5"/>
    <w:rsid w:val="00673EFD"/>
    <w:rsid w:val="0067505C"/>
    <w:rsid w:val="00682F76"/>
    <w:rsid w:val="006831A1"/>
    <w:rsid w:val="006851B5"/>
    <w:rsid w:val="006970BF"/>
    <w:rsid w:val="006D05D0"/>
    <w:rsid w:val="006D3F4C"/>
    <w:rsid w:val="006E305B"/>
    <w:rsid w:val="00707689"/>
    <w:rsid w:val="00722375"/>
    <w:rsid w:val="00723D12"/>
    <w:rsid w:val="0072456B"/>
    <w:rsid w:val="00733FD8"/>
    <w:rsid w:val="00740B81"/>
    <w:rsid w:val="007662D5"/>
    <w:rsid w:val="00770093"/>
    <w:rsid w:val="00777383"/>
    <w:rsid w:val="00784E75"/>
    <w:rsid w:val="00785758"/>
    <w:rsid w:val="007865A8"/>
    <w:rsid w:val="007A46D9"/>
    <w:rsid w:val="007A6DBB"/>
    <w:rsid w:val="007B7CE7"/>
    <w:rsid w:val="007C38CC"/>
    <w:rsid w:val="007E4DCE"/>
    <w:rsid w:val="007E5FC4"/>
    <w:rsid w:val="007F5C52"/>
    <w:rsid w:val="007F7B16"/>
    <w:rsid w:val="0080489C"/>
    <w:rsid w:val="008103C3"/>
    <w:rsid w:val="00810575"/>
    <w:rsid w:val="0081072B"/>
    <w:rsid w:val="00812132"/>
    <w:rsid w:val="0082106B"/>
    <w:rsid w:val="008211DF"/>
    <w:rsid w:val="00822A58"/>
    <w:rsid w:val="00824D80"/>
    <w:rsid w:val="00827148"/>
    <w:rsid w:val="00831DA8"/>
    <w:rsid w:val="00835869"/>
    <w:rsid w:val="00842A8E"/>
    <w:rsid w:val="00846CF9"/>
    <w:rsid w:val="0085251D"/>
    <w:rsid w:val="00872B6F"/>
    <w:rsid w:val="008875F8"/>
    <w:rsid w:val="008917A8"/>
    <w:rsid w:val="008A1D5A"/>
    <w:rsid w:val="008B3DD4"/>
    <w:rsid w:val="008B4F7D"/>
    <w:rsid w:val="008B749B"/>
    <w:rsid w:val="008C79B7"/>
    <w:rsid w:val="008D1B03"/>
    <w:rsid w:val="008E124F"/>
    <w:rsid w:val="008F2D00"/>
    <w:rsid w:val="00902FD8"/>
    <w:rsid w:val="00911111"/>
    <w:rsid w:val="0091268D"/>
    <w:rsid w:val="00914025"/>
    <w:rsid w:val="00935DA8"/>
    <w:rsid w:val="00944A4A"/>
    <w:rsid w:val="009512B4"/>
    <w:rsid w:val="009542A5"/>
    <w:rsid w:val="009620E5"/>
    <w:rsid w:val="009813F9"/>
    <w:rsid w:val="009910FE"/>
    <w:rsid w:val="00994947"/>
    <w:rsid w:val="00996C59"/>
    <w:rsid w:val="009A7CCD"/>
    <w:rsid w:val="009B41B0"/>
    <w:rsid w:val="009B4595"/>
    <w:rsid w:val="009B6F04"/>
    <w:rsid w:val="009C025F"/>
    <w:rsid w:val="009E77EB"/>
    <w:rsid w:val="009F2C45"/>
    <w:rsid w:val="009F491C"/>
    <w:rsid w:val="00A01403"/>
    <w:rsid w:val="00A02EDC"/>
    <w:rsid w:val="00A14921"/>
    <w:rsid w:val="00A15A7E"/>
    <w:rsid w:val="00A218CB"/>
    <w:rsid w:val="00A226E2"/>
    <w:rsid w:val="00A2296F"/>
    <w:rsid w:val="00A36C78"/>
    <w:rsid w:val="00A63831"/>
    <w:rsid w:val="00A643D1"/>
    <w:rsid w:val="00A727BE"/>
    <w:rsid w:val="00A74F66"/>
    <w:rsid w:val="00A83CD4"/>
    <w:rsid w:val="00AA55B1"/>
    <w:rsid w:val="00AB0E2C"/>
    <w:rsid w:val="00AC1B88"/>
    <w:rsid w:val="00AC6F6C"/>
    <w:rsid w:val="00AD39EF"/>
    <w:rsid w:val="00AD5EEC"/>
    <w:rsid w:val="00AE0DCE"/>
    <w:rsid w:val="00AF2978"/>
    <w:rsid w:val="00AF530A"/>
    <w:rsid w:val="00B032ED"/>
    <w:rsid w:val="00B033D0"/>
    <w:rsid w:val="00B277B6"/>
    <w:rsid w:val="00B31C0F"/>
    <w:rsid w:val="00B4258F"/>
    <w:rsid w:val="00B543AE"/>
    <w:rsid w:val="00B56684"/>
    <w:rsid w:val="00B702A5"/>
    <w:rsid w:val="00B7612C"/>
    <w:rsid w:val="00B83BB1"/>
    <w:rsid w:val="00B84C2A"/>
    <w:rsid w:val="00B94523"/>
    <w:rsid w:val="00B9648B"/>
    <w:rsid w:val="00BA748B"/>
    <w:rsid w:val="00BB3979"/>
    <w:rsid w:val="00BC7C10"/>
    <w:rsid w:val="00BD206A"/>
    <w:rsid w:val="00BD4CFC"/>
    <w:rsid w:val="00BE7566"/>
    <w:rsid w:val="00BF09ED"/>
    <w:rsid w:val="00BF606A"/>
    <w:rsid w:val="00C01970"/>
    <w:rsid w:val="00C030B1"/>
    <w:rsid w:val="00C165BC"/>
    <w:rsid w:val="00C20089"/>
    <w:rsid w:val="00C25C91"/>
    <w:rsid w:val="00C45275"/>
    <w:rsid w:val="00C474AE"/>
    <w:rsid w:val="00C51C95"/>
    <w:rsid w:val="00C70818"/>
    <w:rsid w:val="00C7235B"/>
    <w:rsid w:val="00C87B5D"/>
    <w:rsid w:val="00CA686A"/>
    <w:rsid w:val="00CB2AA9"/>
    <w:rsid w:val="00CB482E"/>
    <w:rsid w:val="00CB70A7"/>
    <w:rsid w:val="00CC1340"/>
    <w:rsid w:val="00CC1EA4"/>
    <w:rsid w:val="00CC6554"/>
    <w:rsid w:val="00CC74F7"/>
    <w:rsid w:val="00CD5449"/>
    <w:rsid w:val="00CE10F6"/>
    <w:rsid w:val="00CE18C6"/>
    <w:rsid w:val="00CF0DDD"/>
    <w:rsid w:val="00D02842"/>
    <w:rsid w:val="00D15B3E"/>
    <w:rsid w:val="00D23E30"/>
    <w:rsid w:val="00D27E67"/>
    <w:rsid w:val="00D31D0B"/>
    <w:rsid w:val="00D35F2D"/>
    <w:rsid w:val="00D41B32"/>
    <w:rsid w:val="00D455F0"/>
    <w:rsid w:val="00D529C5"/>
    <w:rsid w:val="00D53F2E"/>
    <w:rsid w:val="00D55B67"/>
    <w:rsid w:val="00D568CF"/>
    <w:rsid w:val="00D57913"/>
    <w:rsid w:val="00D709BB"/>
    <w:rsid w:val="00DA3F72"/>
    <w:rsid w:val="00DB5237"/>
    <w:rsid w:val="00DD738D"/>
    <w:rsid w:val="00DE0244"/>
    <w:rsid w:val="00DE2FF5"/>
    <w:rsid w:val="00DE5465"/>
    <w:rsid w:val="00DF0484"/>
    <w:rsid w:val="00DF4092"/>
    <w:rsid w:val="00E026DB"/>
    <w:rsid w:val="00E03E11"/>
    <w:rsid w:val="00E11B94"/>
    <w:rsid w:val="00E126BD"/>
    <w:rsid w:val="00E152CF"/>
    <w:rsid w:val="00E4019F"/>
    <w:rsid w:val="00E42144"/>
    <w:rsid w:val="00E435E6"/>
    <w:rsid w:val="00E43A49"/>
    <w:rsid w:val="00E500FB"/>
    <w:rsid w:val="00E65C52"/>
    <w:rsid w:val="00E67E28"/>
    <w:rsid w:val="00E7525E"/>
    <w:rsid w:val="00E81FF7"/>
    <w:rsid w:val="00E85642"/>
    <w:rsid w:val="00E862AE"/>
    <w:rsid w:val="00E906B8"/>
    <w:rsid w:val="00E94B49"/>
    <w:rsid w:val="00E96F08"/>
    <w:rsid w:val="00EA327A"/>
    <w:rsid w:val="00EA66A1"/>
    <w:rsid w:val="00EB3036"/>
    <w:rsid w:val="00EC393C"/>
    <w:rsid w:val="00EC6975"/>
    <w:rsid w:val="00ED136E"/>
    <w:rsid w:val="00ED77DF"/>
    <w:rsid w:val="00EF13EE"/>
    <w:rsid w:val="00EF4B5B"/>
    <w:rsid w:val="00F02F84"/>
    <w:rsid w:val="00F0599A"/>
    <w:rsid w:val="00F079EF"/>
    <w:rsid w:val="00F41E67"/>
    <w:rsid w:val="00F44DA9"/>
    <w:rsid w:val="00F736D0"/>
    <w:rsid w:val="00F768AC"/>
    <w:rsid w:val="00F803B5"/>
    <w:rsid w:val="00F82020"/>
    <w:rsid w:val="00F94A05"/>
    <w:rsid w:val="00FA0196"/>
    <w:rsid w:val="00FA1BC3"/>
    <w:rsid w:val="00FA303B"/>
    <w:rsid w:val="00FB03D7"/>
    <w:rsid w:val="00FB35D1"/>
    <w:rsid w:val="00FC73BF"/>
    <w:rsid w:val="00FD2939"/>
    <w:rsid w:val="00FE1257"/>
    <w:rsid w:val="00FF5072"/>
    <w:rsid w:val="00FF7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9069"/>
  <w15:chartTrackingRefBased/>
  <w15:docId w15:val="{274E7CA6-2B08-4DCA-88F8-5E42A162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407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407E4"/>
    <w:rPr>
      <w:rFonts w:ascii="Calibri" w:hAnsi="Calibri"/>
      <w:szCs w:val="21"/>
    </w:rPr>
  </w:style>
  <w:style w:type="character" w:styleId="Emphasis">
    <w:name w:val="Emphasis"/>
    <w:basedOn w:val="DefaultParagraphFont"/>
    <w:uiPriority w:val="20"/>
    <w:qFormat/>
    <w:rsid w:val="000407E4"/>
    <w:rPr>
      <w:i/>
      <w:iCs/>
    </w:rPr>
  </w:style>
  <w:style w:type="character" w:styleId="CommentReference">
    <w:name w:val="annotation reference"/>
    <w:basedOn w:val="DefaultParagraphFont"/>
    <w:uiPriority w:val="99"/>
    <w:semiHidden/>
    <w:unhideWhenUsed/>
    <w:rsid w:val="00A83CD4"/>
    <w:rPr>
      <w:sz w:val="18"/>
      <w:szCs w:val="18"/>
    </w:rPr>
  </w:style>
  <w:style w:type="paragraph" w:styleId="CommentText">
    <w:name w:val="annotation text"/>
    <w:basedOn w:val="Normal"/>
    <w:link w:val="CommentTextChar"/>
    <w:uiPriority w:val="99"/>
    <w:unhideWhenUsed/>
    <w:rsid w:val="00A83CD4"/>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A83CD4"/>
    <w:rPr>
      <w:rFonts w:eastAsiaTheme="minorEastAsia"/>
      <w:sz w:val="24"/>
      <w:szCs w:val="24"/>
      <w:lang w:val="en-US"/>
    </w:rPr>
  </w:style>
  <w:style w:type="paragraph" w:styleId="BalloonText">
    <w:name w:val="Balloon Text"/>
    <w:basedOn w:val="Normal"/>
    <w:link w:val="BalloonTextChar"/>
    <w:uiPriority w:val="99"/>
    <w:semiHidden/>
    <w:unhideWhenUsed/>
    <w:rsid w:val="00A83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D4"/>
    <w:rPr>
      <w:rFonts w:ascii="Segoe UI" w:hAnsi="Segoe UI" w:cs="Segoe UI"/>
      <w:sz w:val="18"/>
      <w:szCs w:val="18"/>
    </w:rPr>
  </w:style>
  <w:style w:type="paragraph" w:styleId="EndnoteText">
    <w:name w:val="endnote text"/>
    <w:basedOn w:val="Normal"/>
    <w:link w:val="EndnoteTextChar"/>
    <w:uiPriority w:val="99"/>
    <w:semiHidden/>
    <w:unhideWhenUsed/>
    <w:rsid w:val="00E856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5642"/>
    <w:rPr>
      <w:sz w:val="20"/>
      <w:szCs w:val="20"/>
    </w:rPr>
  </w:style>
  <w:style w:type="character" w:styleId="EndnoteReference">
    <w:name w:val="endnote reference"/>
    <w:basedOn w:val="DefaultParagraphFont"/>
    <w:uiPriority w:val="99"/>
    <w:semiHidden/>
    <w:unhideWhenUsed/>
    <w:rsid w:val="00E85642"/>
    <w:rPr>
      <w:vertAlign w:val="superscript"/>
    </w:rPr>
  </w:style>
  <w:style w:type="paragraph" w:styleId="CommentSubject">
    <w:name w:val="annotation subject"/>
    <w:basedOn w:val="CommentText"/>
    <w:next w:val="CommentText"/>
    <w:link w:val="CommentSubjectChar"/>
    <w:uiPriority w:val="99"/>
    <w:semiHidden/>
    <w:unhideWhenUsed/>
    <w:rsid w:val="004B7B51"/>
    <w:pPr>
      <w:spacing w:after="16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4B7B51"/>
    <w:rPr>
      <w:rFonts w:eastAsiaTheme="minorEastAsia"/>
      <w:b/>
      <w:bCs/>
      <w:sz w:val="20"/>
      <w:szCs w:val="20"/>
      <w:lang w:val="en-US"/>
    </w:rPr>
  </w:style>
  <w:style w:type="paragraph" w:styleId="Header">
    <w:name w:val="header"/>
    <w:basedOn w:val="Normal"/>
    <w:link w:val="HeaderChar"/>
    <w:uiPriority w:val="99"/>
    <w:unhideWhenUsed/>
    <w:rsid w:val="00BE7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566"/>
  </w:style>
  <w:style w:type="paragraph" w:styleId="Footer">
    <w:name w:val="footer"/>
    <w:basedOn w:val="Normal"/>
    <w:link w:val="FooterChar"/>
    <w:uiPriority w:val="99"/>
    <w:unhideWhenUsed/>
    <w:rsid w:val="00BE7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566"/>
  </w:style>
  <w:style w:type="character" w:customStyle="1" w:styleId="search-result-highlight1">
    <w:name w:val="search-result-highlight1"/>
    <w:basedOn w:val="DefaultParagraphFont"/>
    <w:rsid w:val="008D1B03"/>
    <w:rPr>
      <w:b/>
      <w:bCs/>
      <w:color w:val="666666"/>
    </w:rPr>
  </w:style>
  <w:style w:type="character" w:customStyle="1" w:styleId="cit-first-element3">
    <w:name w:val="cit-first-element3"/>
    <w:basedOn w:val="DefaultParagraphFont"/>
    <w:rsid w:val="008D1B03"/>
  </w:style>
  <w:style w:type="character" w:customStyle="1" w:styleId="cit-auth2">
    <w:name w:val="cit-auth2"/>
    <w:basedOn w:val="DefaultParagraphFont"/>
    <w:rsid w:val="008D1B03"/>
  </w:style>
  <w:style w:type="character" w:customStyle="1" w:styleId="cit-sep3">
    <w:name w:val="cit-sep3"/>
    <w:basedOn w:val="DefaultParagraphFont"/>
    <w:rsid w:val="008D1B03"/>
  </w:style>
  <w:style w:type="character" w:customStyle="1" w:styleId="site-title">
    <w:name w:val="site-title"/>
    <w:basedOn w:val="DefaultParagraphFont"/>
    <w:rsid w:val="008D1B03"/>
  </w:style>
  <w:style w:type="character" w:customStyle="1" w:styleId="cit-print-date2">
    <w:name w:val="cit-print-date2"/>
    <w:basedOn w:val="DefaultParagraphFont"/>
    <w:rsid w:val="008D1B03"/>
  </w:style>
  <w:style w:type="character" w:customStyle="1" w:styleId="cit-vol2">
    <w:name w:val="cit-vol2"/>
    <w:basedOn w:val="DefaultParagraphFont"/>
    <w:rsid w:val="008D1B03"/>
  </w:style>
  <w:style w:type="character" w:customStyle="1" w:styleId="cit-issue">
    <w:name w:val="cit-issue"/>
    <w:basedOn w:val="DefaultParagraphFont"/>
    <w:rsid w:val="008D1B03"/>
  </w:style>
  <w:style w:type="character" w:customStyle="1" w:styleId="cit-first-page">
    <w:name w:val="cit-first-page"/>
    <w:basedOn w:val="DefaultParagraphFont"/>
    <w:rsid w:val="008D1B03"/>
  </w:style>
  <w:style w:type="character" w:customStyle="1" w:styleId="cit-last-page2">
    <w:name w:val="cit-last-page2"/>
    <w:basedOn w:val="DefaultParagraphFont"/>
    <w:rsid w:val="008D1B03"/>
  </w:style>
  <w:style w:type="character" w:customStyle="1" w:styleId="maintextleft">
    <w:name w:val="maintextleft"/>
    <w:basedOn w:val="DefaultParagraphFont"/>
    <w:rsid w:val="004B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21189">
      <w:bodyDiv w:val="1"/>
      <w:marLeft w:val="0"/>
      <w:marRight w:val="0"/>
      <w:marTop w:val="0"/>
      <w:marBottom w:val="0"/>
      <w:divBdr>
        <w:top w:val="none" w:sz="0" w:space="0" w:color="auto"/>
        <w:left w:val="none" w:sz="0" w:space="0" w:color="auto"/>
        <w:bottom w:val="none" w:sz="0" w:space="0" w:color="auto"/>
        <w:right w:val="none" w:sz="0" w:space="0" w:color="auto"/>
      </w:divBdr>
    </w:div>
    <w:div w:id="470557742">
      <w:bodyDiv w:val="1"/>
      <w:marLeft w:val="0"/>
      <w:marRight w:val="0"/>
      <w:marTop w:val="0"/>
      <w:marBottom w:val="0"/>
      <w:divBdr>
        <w:top w:val="none" w:sz="0" w:space="0" w:color="auto"/>
        <w:left w:val="none" w:sz="0" w:space="0" w:color="auto"/>
        <w:bottom w:val="none" w:sz="0" w:space="0" w:color="auto"/>
        <w:right w:val="none" w:sz="0" w:space="0" w:color="auto"/>
      </w:divBdr>
    </w:div>
    <w:div w:id="868563281">
      <w:bodyDiv w:val="1"/>
      <w:marLeft w:val="0"/>
      <w:marRight w:val="0"/>
      <w:marTop w:val="0"/>
      <w:marBottom w:val="0"/>
      <w:divBdr>
        <w:top w:val="none" w:sz="0" w:space="0" w:color="auto"/>
        <w:left w:val="none" w:sz="0" w:space="0" w:color="auto"/>
        <w:bottom w:val="none" w:sz="0" w:space="0" w:color="auto"/>
        <w:right w:val="none" w:sz="0" w:space="0" w:color="auto"/>
      </w:divBdr>
    </w:div>
    <w:div w:id="1377504377">
      <w:bodyDiv w:val="1"/>
      <w:marLeft w:val="0"/>
      <w:marRight w:val="0"/>
      <w:marTop w:val="0"/>
      <w:marBottom w:val="0"/>
      <w:divBdr>
        <w:top w:val="none" w:sz="0" w:space="0" w:color="auto"/>
        <w:left w:val="none" w:sz="0" w:space="0" w:color="auto"/>
        <w:bottom w:val="none" w:sz="0" w:space="0" w:color="auto"/>
        <w:right w:val="none" w:sz="0" w:space="0" w:color="auto"/>
      </w:divBdr>
    </w:div>
    <w:div w:id="1549294425">
      <w:bodyDiv w:val="1"/>
      <w:marLeft w:val="0"/>
      <w:marRight w:val="0"/>
      <w:marTop w:val="0"/>
      <w:marBottom w:val="0"/>
      <w:divBdr>
        <w:top w:val="none" w:sz="0" w:space="0" w:color="auto"/>
        <w:left w:val="none" w:sz="0" w:space="0" w:color="auto"/>
        <w:bottom w:val="none" w:sz="0" w:space="0" w:color="auto"/>
        <w:right w:val="none" w:sz="0" w:space="0" w:color="auto"/>
      </w:divBdr>
      <w:divsChild>
        <w:div w:id="824667172">
          <w:marLeft w:val="0"/>
          <w:marRight w:val="0"/>
          <w:marTop w:val="0"/>
          <w:marBottom w:val="0"/>
          <w:divBdr>
            <w:top w:val="none" w:sz="0" w:space="0" w:color="auto"/>
            <w:left w:val="none" w:sz="0" w:space="0" w:color="auto"/>
            <w:bottom w:val="none" w:sz="0" w:space="0" w:color="auto"/>
            <w:right w:val="none" w:sz="0" w:space="0" w:color="auto"/>
          </w:divBdr>
          <w:divsChild>
            <w:div w:id="71511902">
              <w:marLeft w:val="0"/>
              <w:marRight w:val="0"/>
              <w:marTop w:val="0"/>
              <w:marBottom w:val="0"/>
              <w:divBdr>
                <w:top w:val="none" w:sz="0" w:space="0" w:color="auto"/>
                <w:left w:val="none" w:sz="0" w:space="0" w:color="auto"/>
                <w:bottom w:val="none" w:sz="0" w:space="0" w:color="auto"/>
                <w:right w:val="dashed" w:sz="2" w:space="0" w:color="AAAAAA"/>
              </w:divBdr>
              <w:divsChild>
                <w:div w:id="2016492735">
                  <w:marLeft w:val="0"/>
                  <w:marRight w:val="0"/>
                  <w:marTop w:val="0"/>
                  <w:marBottom w:val="0"/>
                  <w:divBdr>
                    <w:top w:val="none" w:sz="0" w:space="0" w:color="auto"/>
                    <w:left w:val="none" w:sz="0" w:space="0" w:color="auto"/>
                    <w:bottom w:val="none" w:sz="0" w:space="0" w:color="auto"/>
                    <w:right w:val="none" w:sz="0" w:space="0" w:color="auto"/>
                  </w:divBdr>
                  <w:divsChild>
                    <w:div w:id="946498694">
                      <w:marLeft w:val="0"/>
                      <w:marRight w:val="0"/>
                      <w:marTop w:val="0"/>
                      <w:marBottom w:val="0"/>
                      <w:divBdr>
                        <w:top w:val="none" w:sz="0" w:space="0" w:color="auto"/>
                        <w:left w:val="none" w:sz="0" w:space="0" w:color="auto"/>
                        <w:bottom w:val="none" w:sz="0" w:space="0" w:color="auto"/>
                        <w:right w:val="none" w:sz="0" w:space="0" w:color="auto"/>
                      </w:divBdr>
                      <w:divsChild>
                        <w:div w:id="2002198448">
                          <w:marLeft w:val="0"/>
                          <w:marRight w:val="0"/>
                          <w:marTop w:val="0"/>
                          <w:marBottom w:val="0"/>
                          <w:divBdr>
                            <w:top w:val="none" w:sz="0" w:space="0" w:color="auto"/>
                            <w:left w:val="none" w:sz="0" w:space="0" w:color="auto"/>
                            <w:bottom w:val="none" w:sz="0" w:space="0" w:color="auto"/>
                            <w:right w:val="none" w:sz="0" w:space="0" w:color="auto"/>
                          </w:divBdr>
                          <w:divsChild>
                            <w:div w:id="5700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22402">
      <w:bodyDiv w:val="1"/>
      <w:marLeft w:val="0"/>
      <w:marRight w:val="0"/>
      <w:marTop w:val="0"/>
      <w:marBottom w:val="0"/>
      <w:divBdr>
        <w:top w:val="none" w:sz="0" w:space="0" w:color="auto"/>
        <w:left w:val="none" w:sz="0" w:space="0" w:color="auto"/>
        <w:bottom w:val="none" w:sz="0" w:space="0" w:color="auto"/>
        <w:right w:val="none" w:sz="0" w:space="0" w:color="auto"/>
      </w:divBdr>
    </w:div>
    <w:div w:id="1810634891">
      <w:bodyDiv w:val="1"/>
      <w:marLeft w:val="0"/>
      <w:marRight w:val="0"/>
      <w:marTop w:val="0"/>
      <w:marBottom w:val="0"/>
      <w:divBdr>
        <w:top w:val="none" w:sz="0" w:space="0" w:color="auto"/>
        <w:left w:val="none" w:sz="0" w:space="0" w:color="auto"/>
        <w:bottom w:val="none" w:sz="0" w:space="0" w:color="auto"/>
        <w:right w:val="none" w:sz="0" w:space="0" w:color="auto"/>
      </w:divBdr>
    </w:div>
    <w:div w:id="18790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CAEE-2FAD-4598-B775-560A0298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5D5529C1</Template>
  <TotalTime>14</TotalTime>
  <Pages>4</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Bell</dc:creator>
  <cp:keywords/>
  <dc:description/>
  <cp:lastModifiedBy>T.N. Bridgman</cp:lastModifiedBy>
  <cp:revision>13</cp:revision>
  <cp:lastPrinted>2016-10-19T19:40:00Z</cp:lastPrinted>
  <dcterms:created xsi:type="dcterms:W3CDTF">2017-12-04T14:19:00Z</dcterms:created>
  <dcterms:modified xsi:type="dcterms:W3CDTF">2017-12-04T14:35:00Z</dcterms:modified>
</cp:coreProperties>
</file>